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end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charts/chart5.xml" ContentType="application/vnd.openxmlformats-officedocument.drawingml.chart+xml"/>
  <Override PartName="/word/charts/chart4.xml" ContentType="application/vnd.openxmlformats-officedocument.drawingml.chart+xml"/>
  <Override PartName="/word/charts/chart3.xml" ContentType="application/vnd.openxmlformats-officedocument.drawingml.chart+xml"/>
  <Override PartName="/word/charts/chart1.xml" ContentType="application/vnd.openxmlformats-officedocument.drawingml.chart+xml"/>
  <Override PartName="/word/charts/chart2.xml" ContentType="application/vnd.openxmlformats-officedocument.drawingml.chart+xml"/>
  <Override PartName="/word/endnotes.xml" ContentType="application/vnd.openxmlformats-officedocument.wordprocessingml.endnotes+xml"/>
  <Override PartName="/word/media/image4.jpeg" ContentType="image/jpeg"/>
  <Override PartName="/word/media/image3.png" ContentType="image/png"/>
  <Override PartName="/word/media/image1.png" ContentType="image/png"/>
  <Override PartName="/word/media/hdphoto1.wdp" ContentType="image/vnd.ms-photo"/>
  <Override PartName="/word/media/image2.png" ContentType="image/png"/>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r>
        <w:br w:type="page"/>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t>EXECUTIVE SUMMARY</w:t>
      </w:r>
    </w:p>
    <w:p>
      <w:pPr>
        <w:pStyle w:val="LOnormal"/>
        <w:spacing w:lineRule="auto" w:line="240"/>
        <w:rPr>
          <w:rFonts w:ascii="Times New Roman" w:hAnsi="Times New Roman" w:eastAsia="Times New Roman" w:cs="Times New Roman"/>
          <w:b/>
          <w:b/>
          <w:color w:val="365F91" w:themeColor="accent1" w:themeShade="bf"/>
          <w:sz w:val="24"/>
          <w:szCs w:val="24"/>
        </w:rPr>
      </w:pPr>
      <w:r>
        <w:rPr>
          <w:rFonts w:eastAsia="Times New Roman" w:cs="Times New Roman" w:ascii="Times New Roman" w:hAnsi="Times New Roman"/>
          <w:b/>
          <w:color w:val="365F91" w:themeColor="accent1" w:themeShade="bf"/>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Following the 2017 Northern California fires, we analysed 3 food production sites across Sonoma County at varying distances from the urban burn areas in Santa Rosa.  We tested washed and unwashed samples of kale leaves, collected by community volunteers during the fire, as well as soil samples collected by community volunteers in June of 2018.</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Results confirmed our hypothesis that produce was not significantly affected by the fire. Our cumulative analysis further suggests that eating trace contaminants on produce does not provide a significant chemical exposure during an urban wildfire event, and the potential cancer risk is outweighed by the cancer risk reduction from the nutritional value of eating produce. More analysis is needed on dioxin in Santa Rosa soils. Our report provides additional information on best practices for further reducing risk and enhacing protective factors.</w:t>
      </w:r>
    </w:p>
    <w:p>
      <w:pPr>
        <w:pStyle w:val="LOnormal"/>
        <w:spacing w:lineRule="auto" w:line="240"/>
        <w:rPr>
          <w:rFonts w:ascii="Times New Roman" w:hAnsi="Times New Roman" w:eastAsia="Times New Roman" w:cs="Times New Roman"/>
          <w:b/>
          <w:b/>
          <w:color w:val="365F91" w:themeColor="accent1" w:themeShade="bf"/>
          <w:sz w:val="24"/>
          <w:szCs w:val="24"/>
        </w:rPr>
      </w:pPr>
      <w:r>
        <w:rPr>
          <w:rFonts w:eastAsia="Times New Roman" w:cs="Times New Roman" w:ascii="Times New Roman" w:hAnsi="Times New Roman"/>
          <w:b/>
          <w:color w:val="365F91" w:themeColor="accent1" w:themeShade="bf"/>
          <w:sz w:val="24"/>
          <w:szCs w:val="24"/>
        </w:rPr>
      </w:r>
    </w:p>
    <w:p>
      <w:pPr>
        <w:pStyle w:val="Normal"/>
        <w:numPr>
          <w:ilvl w:val="0"/>
          <w:numId w:val="2"/>
        </w:numPr>
        <w:spacing w:lineRule="auto" w:line="240"/>
        <w:textAlignment w:val="baseline"/>
        <w:rPr>
          <w:rFonts w:ascii="Times New Roman" w:hAnsi="Times New Roman" w:cs="Times New Roman"/>
          <w:color w:val="000000"/>
          <w:sz w:val="24"/>
          <w:szCs w:val="24"/>
        </w:rPr>
      </w:pPr>
      <w:r>
        <w:rPr>
          <w:rFonts w:cs="Times New Roman" w:ascii="Times New Roman" w:hAnsi="Times New Roman"/>
          <w:color w:val="000000"/>
          <w:sz w:val="24"/>
          <w:szCs w:val="24"/>
        </w:rPr>
        <w:t xml:space="preserve">Produce Summary: </w:t>
      </w:r>
      <w:r>
        <w:rPr>
          <w:rFonts w:cs="Times New Roman" w:ascii="Times New Roman" w:hAnsi="Times New Roman"/>
          <w:b/>
          <w:i/>
          <w:color w:val="4F81BD" w:themeColor="accent1"/>
          <w:sz w:val="24"/>
          <w:szCs w:val="24"/>
        </w:rPr>
        <w:t>low concern</w:t>
      </w:r>
    </w:p>
    <w:p>
      <w:pPr>
        <w:pStyle w:val="Normal"/>
        <w:numPr>
          <w:ilvl w:val="1"/>
          <w:numId w:val="2"/>
        </w:numPr>
        <w:tabs>
          <w:tab w:val="left" w:pos="720" w:leader="none"/>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color w:val="000000"/>
          <w:sz w:val="24"/>
          <w:szCs w:val="24"/>
        </w:rPr>
        <w:t xml:space="preserve">Produce samples did not have any detectable Polycyclic Aromatic Hydrocarbons (PAHs), or Polychlorinated Biphenyls (PCBs). </w:t>
      </w:r>
    </w:p>
    <w:p>
      <w:pPr>
        <w:pStyle w:val="Normal"/>
        <w:numPr>
          <w:ilvl w:val="1"/>
          <w:numId w:val="2"/>
        </w:numPr>
        <w:tabs>
          <w:tab w:val="left" w:pos="720" w:leader="none"/>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color w:val="000000"/>
          <w:sz w:val="24"/>
          <w:szCs w:val="24"/>
        </w:rPr>
        <w:t xml:space="preserve">Produce did not have any detectable Dioxins and Furans in 12 out of 13 samples. The sample with detectable levels was still at a concentration below California’s “No Significant Risk Level” threshold for determining chemical safety under Proposition 65. </w:t>
      </w:r>
    </w:p>
    <w:p>
      <w:pPr>
        <w:pStyle w:val="Normal"/>
        <w:numPr>
          <w:ilvl w:val="1"/>
          <w:numId w:val="2"/>
        </w:numPr>
        <w:tabs>
          <w:tab w:val="left" w:pos="720" w:leader="none"/>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color w:val="000000"/>
          <w:sz w:val="24"/>
          <w:szCs w:val="24"/>
        </w:rPr>
        <w:t>Produce did not have any detectable Proposition 65-regulated heavy metals in 12 out of 13 samples. One sample contained nickel at levels that exceed the Prop 65 NSRL. No samples had detectable levels of lead, arsenic, mercury, or chromium.</w:t>
        <w:tab/>
      </w:r>
    </w:p>
    <w:p>
      <w:pPr>
        <w:pStyle w:val="Normal"/>
        <w:numPr>
          <w:ilvl w:val="0"/>
          <w:numId w:val="2"/>
        </w:numPr>
        <w:spacing w:lineRule="auto" w:line="240"/>
        <w:textAlignment w:val="baseline"/>
        <w:rPr>
          <w:rFonts w:ascii="Times New Roman" w:hAnsi="Times New Roman" w:cs="Times New Roman"/>
          <w:b/>
          <w:b/>
          <w:color w:val="4F81BD" w:themeColor="accent1"/>
          <w:sz w:val="24"/>
          <w:szCs w:val="24"/>
        </w:rPr>
      </w:pPr>
      <w:r>
        <w:rPr>
          <w:rFonts w:cs="Times New Roman" w:ascii="Times New Roman" w:hAnsi="Times New Roman"/>
          <w:color w:val="000000"/>
          <w:sz w:val="24"/>
          <w:szCs w:val="24"/>
        </w:rPr>
        <w:t xml:space="preserve">Soil Summary: </w:t>
      </w:r>
      <w:r>
        <w:rPr>
          <w:rFonts w:cs="Times New Roman" w:ascii="Times New Roman" w:hAnsi="Times New Roman"/>
          <w:b/>
          <w:i/>
          <w:color w:val="4F81BD" w:themeColor="accent1"/>
          <w:sz w:val="24"/>
          <w:szCs w:val="24"/>
        </w:rPr>
        <w:t>low concern, more soil dioxin testing needed in Santa Rosa</w:t>
      </w:r>
    </w:p>
    <w:p>
      <w:pPr>
        <w:pStyle w:val="Normal"/>
        <w:numPr>
          <w:ilvl w:val="1"/>
          <w:numId w:val="2"/>
        </w:numPr>
        <w:tabs>
          <w:tab w:val="clear" w:pos="720"/>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color w:val="000000"/>
          <w:sz w:val="24"/>
          <w:szCs w:val="24"/>
        </w:rPr>
        <w:t>Heavy metal soil concentrations were below Sonoma County’s post-fire clean-up goals.</w:t>
      </w:r>
    </w:p>
    <w:p>
      <w:pPr>
        <w:pStyle w:val="Normal"/>
        <w:numPr>
          <w:ilvl w:val="1"/>
          <w:numId w:val="2"/>
        </w:numPr>
        <w:tabs>
          <w:tab w:val="clear" w:pos="720"/>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color w:val="000000"/>
          <w:sz w:val="24"/>
          <w:szCs w:val="24"/>
        </w:rPr>
        <w:t xml:space="preserve">The site closest to the Santa Rosa fires had the highest levels of dioxins and furans, at levels that exceed EPA and OEHHA soil screening levels. </w:t>
      </w:r>
    </w:p>
    <w:p>
      <w:pPr>
        <w:pStyle w:val="Normal"/>
        <w:numPr>
          <w:ilvl w:val="1"/>
          <w:numId w:val="2"/>
        </w:numPr>
        <w:tabs>
          <w:tab w:val="clear" w:pos="720"/>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color w:val="000000"/>
          <w:sz w:val="24"/>
          <w:szCs w:val="24"/>
        </w:rPr>
        <w:t>We are unable to confirm whether these contaminants were present before the fire or are a result of the fire.</w:t>
      </w:r>
    </w:p>
    <w:p>
      <w:pPr>
        <w:pStyle w:val="Normal"/>
        <w:numPr>
          <w:ilvl w:val="1"/>
          <w:numId w:val="2"/>
        </w:numPr>
        <w:tabs>
          <w:tab w:val="clear" w:pos="720"/>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color w:val="000000"/>
          <w:sz w:val="24"/>
          <w:szCs w:val="24"/>
        </w:rPr>
        <w:t>Soil samples did not have any detectable Polychlorinated Biphenyls (PCBs).</w:t>
        <w:br/>
      </w:r>
    </w:p>
    <w:p>
      <w:pPr>
        <w:pStyle w:val="Normal"/>
        <w:numPr>
          <w:ilvl w:val="0"/>
          <w:numId w:val="2"/>
        </w:numPr>
        <w:spacing w:lineRule="auto" w:line="240"/>
        <w:textAlignment w:val="baseline"/>
        <w:rPr>
          <w:rFonts w:ascii="Times New Roman" w:hAnsi="Times New Roman" w:cs="Times New Roman"/>
          <w:color w:val="000000"/>
          <w:sz w:val="24"/>
          <w:szCs w:val="24"/>
        </w:rPr>
      </w:pPr>
      <w:r>
        <w:rPr>
          <w:rFonts w:cs="Times New Roman" w:ascii="Times New Roman" w:hAnsi="Times New Roman"/>
          <w:color w:val="000000"/>
          <w:sz w:val="24"/>
          <w:szCs w:val="24"/>
        </w:rPr>
        <w:t>General Notes:</w:t>
      </w:r>
      <w:r>
        <w:rPr>
          <w:rFonts w:eastAsia="Times New Roman" w:cs="Times New Roman" w:ascii="Times New Roman" w:hAnsi="Times New Roman"/>
          <w:b/>
          <w:color w:val="365F91" w:themeColor="accent1" w:themeShade="bf"/>
          <w:sz w:val="24"/>
          <w:szCs w:val="24"/>
        </w:rPr>
        <w:t xml:space="preserve"> </w:t>
      </w:r>
      <w:r>
        <w:rPr>
          <w:rFonts w:eastAsia="Times New Roman" w:cs="Times New Roman" w:ascii="Times New Roman" w:hAnsi="Times New Roman"/>
          <w:b/>
          <w:i/>
          <w:color w:val="4F81BD" w:themeColor="accent1"/>
          <w:sz w:val="24"/>
          <w:szCs w:val="24"/>
        </w:rPr>
        <w:t>the need for a balanced approach in assessing risk</w:t>
      </w:r>
    </w:p>
    <w:p>
      <w:pPr>
        <w:pStyle w:val="Normal"/>
        <w:numPr>
          <w:ilvl w:val="1"/>
          <w:numId w:val="2"/>
        </w:numPr>
        <w:tabs>
          <w:tab w:val="left" w:pos="720" w:leader="none"/>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i/>
          <w:color w:val="000000"/>
          <w:sz w:val="24"/>
          <w:szCs w:val="24"/>
          <w:u w:val="single"/>
        </w:rPr>
        <w:t>Over long periods of time</w:t>
      </w:r>
      <w:r>
        <w:rPr>
          <w:rFonts w:cs="Times New Roman" w:ascii="Times New Roman" w:hAnsi="Times New Roman"/>
          <w:color w:val="000000"/>
          <w:sz w:val="24"/>
          <w:szCs w:val="24"/>
        </w:rPr>
        <w:t xml:space="preserve">, exposure to these chemical groups at very low levels can still contribute to health impacts, including at </w:t>
      </w:r>
      <w:r>
        <w:rPr>
          <w:rFonts w:cs="Times New Roman" w:ascii="Times New Roman" w:hAnsi="Times New Roman"/>
          <w:i/>
          <w:iCs/>
          <w:color w:val="000000"/>
          <w:sz w:val="24"/>
          <w:szCs w:val="24"/>
        </w:rPr>
        <w:t>levels below what our tests are able to detect</w:t>
      </w:r>
      <w:r>
        <w:rPr>
          <w:rFonts w:cs="Times New Roman" w:ascii="Times New Roman" w:hAnsi="Times New Roman"/>
          <w:color w:val="000000"/>
          <w:sz w:val="24"/>
          <w:szCs w:val="24"/>
        </w:rPr>
        <w:t xml:space="preserve">. </w:t>
      </w:r>
    </w:p>
    <w:p>
      <w:pPr>
        <w:pStyle w:val="Normal"/>
        <w:numPr>
          <w:ilvl w:val="1"/>
          <w:numId w:val="2"/>
        </w:numPr>
        <w:tabs>
          <w:tab w:val="left" w:pos="720" w:leader="none"/>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i/>
          <w:color w:val="000000"/>
          <w:sz w:val="24"/>
          <w:szCs w:val="24"/>
          <w:u w:val="single"/>
        </w:rPr>
        <w:t>Numerous health benefits including cancer risk reduction</w:t>
      </w:r>
      <w:r>
        <w:rPr>
          <w:rFonts w:cs="Times New Roman" w:ascii="Times New Roman" w:hAnsi="Times New Roman"/>
          <w:color w:val="000000"/>
          <w:sz w:val="24"/>
          <w:szCs w:val="24"/>
        </w:rPr>
        <w:t xml:space="preserve"> have been attributed to green leafy vegetables. These benefits outweigh the risk from trace contaminants in produce.</w:t>
      </w:r>
    </w:p>
    <w:p>
      <w:pPr>
        <w:pStyle w:val="NormalWeb"/>
        <w:numPr>
          <w:ilvl w:val="1"/>
          <w:numId w:val="2"/>
        </w:numPr>
        <w:tabs>
          <w:tab w:val="left" w:pos="720" w:leader="none"/>
        </w:tabs>
        <w:spacing w:beforeAutospacing="0" w:before="0" w:afterAutospacing="0" w:after="0"/>
        <w:ind w:left="720" w:hanging="270"/>
        <w:textAlignment w:val="baseline"/>
        <w:rPr>
          <w:color w:val="000000"/>
          <w:sz w:val="24"/>
          <w:szCs w:val="24"/>
        </w:rPr>
      </w:pPr>
      <w:r>
        <w:rPr>
          <w:i/>
          <w:color w:val="000000"/>
          <w:sz w:val="24"/>
          <w:szCs w:val="24"/>
          <w:u w:val="single"/>
        </w:rPr>
        <w:t>Some individuals have higher risks</w:t>
      </w:r>
      <w:r>
        <w:rPr>
          <w:color w:val="000000"/>
          <w:sz w:val="24"/>
          <w:szCs w:val="24"/>
        </w:rPr>
        <w:t xml:space="preserve"> and should talk with their healthcare provider to better understand if they should take extra precautions. Individuals at higher risk may also benefit greatly from the high nutrition in green leafy vegetables and fresh produce.</w:t>
      </w:r>
    </w:p>
    <w:p>
      <w:pPr>
        <w:pStyle w:val="Normal"/>
        <w:numPr>
          <w:ilvl w:val="1"/>
          <w:numId w:val="2"/>
        </w:numPr>
        <w:tabs>
          <w:tab w:val="left" w:pos="720" w:leader="none"/>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i/>
          <w:iCs/>
          <w:color w:val="000000"/>
          <w:sz w:val="24"/>
          <w:szCs w:val="24"/>
          <w:u w:val="single"/>
        </w:rPr>
        <w:t>Best practices for reducing risk</w:t>
      </w:r>
      <w:r>
        <w:rPr>
          <w:rFonts w:cs="Times New Roman" w:ascii="Times New Roman" w:hAnsi="Times New Roman"/>
          <w:color w:val="000000"/>
          <w:sz w:val="24"/>
          <w:szCs w:val="24"/>
        </w:rPr>
        <w:t xml:space="preserve"> </w:t>
      </w:r>
      <w:r>
        <w:rPr>
          <w:rFonts w:cs="Times New Roman" w:ascii="Times New Roman" w:hAnsi="Times New Roman"/>
          <w:i/>
          <w:color w:val="000000"/>
          <w:sz w:val="24"/>
          <w:szCs w:val="24"/>
          <w:u w:val="single"/>
        </w:rPr>
        <w:t>include</w:t>
      </w:r>
      <w:r>
        <w:rPr>
          <w:rFonts w:cs="Times New Roman" w:ascii="Times New Roman" w:hAnsi="Times New Roman"/>
          <w:color w:val="000000"/>
          <w:sz w:val="24"/>
          <w:szCs w:val="24"/>
        </w:rPr>
        <w:t xml:space="preserve">: wearing a respirator mask; washing produce thoroughly in running water; peeling root vegetables, testing soil regularly; containing and amending contaminated soil through sheet mulching, raised beds, and compost. </w:t>
      </w:r>
    </w:p>
    <w:p>
      <w:pPr>
        <w:pStyle w:val="Normal"/>
        <w:numPr>
          <w:ilvl w:val="1"/>
          <w:numId w:val="2"/>
        </w:numPr>
        <w:tabs>
          <w:tab w:val="left" w:pos="720" w:leader="none"/>
        </w:tabs>
        <w:spacing w:lineRule="auto" w:line="240"/>
        <w:ind w:left="720" w:hanging="360"/>
        <w:textAlignment w:val="baseline"/>
        <w:rPr>
          <w:rFonts w:ascii="Times New Roman" w:hAnsi="Times New Roman" w:cs="Times New Roman"/>
          <w:color w:val="000000"/>
          <w:sz w:val="24"/>
          <w:szCs w:val="24"/>
        </w:rPr>
      </w:pPr>
      <w:r>
        <w:rPr>
          <w:rFonts w:cs="Times New Roman" w:ascii="Times New Roman" w:hAnsi="Times New Roman"/>
          <w:i/>
          <w:color w:val="000000"/>
          <w:sz w:val="24"/>
          <w:szCs w:val="24"/>
          <w:u w:val="single"/>
        </w:rPr>
        <w:t>Best practices that enhance protective factors</w:t>
      </w:r>
      <w:r>
        <w:rPr>
          <w:rFonts w:cs="Times New Roman" w:ascii="Times New Roman" w:hAnsi="Times New Roman"/>
          <w:color w:val="000000"/>
          <w:sz w:val="24"/>
          <w:szCs w:val="24"/>
        </w:rPr>
        <w:t xml:space="preserve"> should also be pursued, such as increasing produce consumption to promote healthy nutrition and resilience to chemical exposures.</w:t>
      </w:r>
    </w:p>
    <w:p>
      <w:pPr>
        <w:pStyle w:val="Normal"/>
        <w:tabs>
          <w:tab w:val="left" w:pos="720" w:leader="none"/>
        </w:tabs>
        <w:spacing w:lineRule="auto" w:line="240"/>
        <w:ind w:left="360" w:hanging="0"/>
        <w:jc w:val="center"/>
        <w:textAlignment w:val="baseline"/>
        <w:rPr>
          <w:rFonts w:ascii="Times New Roman" w:hAnsi="Times New Roman" w:cs="Times New Roman"/>
          <w:color w:val="000000"/>
          <w:sz w:val="24"/>
          <w:szCs w:val="24"/>
        </w:rPr>
      </w:pPr>
      <w:r>
        <w:rPr>
          <w:rFonts w:eastAsia="Times New Roman" w:cs="Times New Roman" w:ascii="Abadi MT Condensed Light" w:hAnsi="Abadi MT Condensed Light"/>
          <w:b/>
          <w:color w:val="365F91" w:themeColor="accent1" w:themeShade="bf"/>
          <w:sz w:val="40"/>
          <w:szCs w:val="40"/>
        </w:rPr>
        <w:t>BACKGROUND &amp; SAMPLING METHODS</w:t>
      </w:r>
    </w:p>
    <w:p>
      <w:pPr>
        <w:pStyle w:val="LOnormal"/>
        <w:spacing w:lineRule="auto" w:line="240"/>
        <w:rPr>
          <w:rFonts w:ascii="Times New Roman" w:hAnsi="Times New Roman" w:eastAsia="Times New Roman" w:cs="Times New Roman"/>
          <w:b/>
          <w:b/>
          <w:sz w:val="24"/>
          <w:szCs w:val="24"/>
          <w:u w:val="single"/>
        </w:rPr>
      </w:pPr>
      <w:r>
        <w:rPr>
          <w:rFonts w:eastAsia="Times New Roman" w:cs="Times New Roman" w:ascii="Times New Roman" w:hAnsi="Times New Roman"/>
          <w:b/>
          <w:sz w:val="24"/>
          <w:szCs w:val="24"/>
          <w:u w:val="single"/>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t>Urbal Wildfire and Potential Contamination</w:t>
      </w:r>
    </w:p>
    <w:p>
      <w:pPr>
        <w:pStyle w:val="LO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The fires that spread through Northern California in October 2017 burned over 160,000 acres of wildland, suburban, urban and industrial areas, creating dangerous air quality conditions for the region that lasted long beyond the fires themselves. The wildfire smoke likely included high concentrations of toxic air contaminants.</w:t>
      </w:r>
      <w:r>
        <w:rPr>
          <w:rStyle w:val="EndnoteAnchor"/>
          <w:rStyle w:val="EndnoteAnchor"/>
          <w:rFonts w:eastAsia="Times New Roman" w:cs="Times New Roman" w:ascii="Times New Roman" w:hAnsi="Times New Roman"/>
          <w:sz w:val="24"/>
          <w:szCs w:val="24"/>
          <w:vertAlign w:val="superscript"/>
        </w:rPr>
        <w:endnoteReference w:id="2"/>
      </w:r>
      <w:r>
        <w:rPr>
          <w:rFonts w:eastAsia="Times New Roman" w:cs="Times New Roman" w:ascii="Times New Roman" w:hAnsi="Times New Roman"/>
          <w:sz w:val="24"/>
          <w:szCs w:val="24"/>
        </w:rPr>
        <w:t xml:space="preserve"> Following the fires, the Food and Drug Administration wrote a letter to the California Department of Food and Agriculture and the California Department of Public Health, stating that “toxic elements, firefighting chemicals, and combustion products such as polycyclic aromatic hydrocarbons (PAHs) and dioxins are of greatest concern.” There are well-known human health impacts from the </w:t>
      </w:r>
      <w:r>
        <w:rPr>
          <w:rFonts w:eastAsia="Times New Roman" w:cs="Times New Roman" w:ascii="Times New Roman" w:hAnsi="Times New Roman"/>
          <w:i/>
          <w:sz w:val="24"/>
          <w:szCs w:val="24"/>
        </w:rPr>
        <w:t>inhalation</w:t>
      </w:r>
      <w:r>
        <w:rPr>
          <w:rFonts w:eastAsia="Times New Roman" w:cs="Times New Roman" w:ascii="Times New Roman" w:hAnsi="Times New Roman"/>
          <w:sz w:val="24"/>
          <w:szCs w:val="24"/>
        </w:rPr>
        <w:t xml:space="preserve"> of these contaminants</w:t>
      </w:r>
      <w:r>
        <w:rPr>
          <w:rStyle w:val="EndnoteAnchor"/>
          <w:rStyle w:val="EndnoteAnchor"/>
          <w:rFonts w:eastAsia="Times New Roman" w:cs="Times New Roman" w:ascii="Times New Roman" w:hAnsi="Times New Roman"/>
          <w:sz w:val="24"/>
          <w:szCs w:val="24"/>
        </w:rPr>
        <w:endnoteReference w:id="3"/>
      </w:r>
      <w:r>
        <w:rPr>
          <w:rFonts w:eastAsia="Times New Roman" w:cs="Times New Roman" w:ascii="Times New Roman" w:hAnsi="Times New Roman"/>
          <w:sz w:val="24"/>
          <w:szCs w:val="24"/>
        </w:rPr>
        <w:t>. Additionally, plants have the potential to absorb air pollutants directly through their leaves,</w:t>
      </w:r>
      <w:r>
        <w:rPr>
          <w:rStyle w:val="EndnoteAnchor"/>
          <w:rStyle w:val="EndnoteAnchor"/>
          <w:rFonts w:eastAsia="Times New Roman" w:cs="Times New Roman" w:ascii="Times New Roman" w:hAnsi="Times New Roman"/>
          <w:sz w:val="24"/>
          <w:szCs w:val="24"/>
          <w:vertAlign w:val="superscript"/>
        </w:rPr>
        <w:endnoteReference w:id="4"/>
      </w:r>
      <w:r>
        <w:rPr>
          <w:rFonts w:eastAsia="Times New Roman" w:cs="Times New Roman" w:ascii="Times New Roman" w:hAnsi="Times New Roman"/>
          <w:sz w:val="24"/>
          <w:szCs w:val="24"/>
        </w:rPr>
        <w:t>,</w:t>
      </w:r>
      <w:r>
        <w:rPr>
          <w:rStyle w:val="EndnoteAnchor"/>
          <w:rStyle w:val="EndnoteAnchor"/>
          <w:rFonts w:eastAsia="Times New Roman" w:cs="Times New Roman" w:ascii="Times New Roman" w:hAnsi="Times New Roman"/>
          <w:sz w:val="24"/>
          <w:szCs w:val="24"/>
          <w:vertAlign w:val="superscript"/>
        </w:rPr>
        <w:endnoteReference w:id="5"/>
      </w:r>
      <w:r>
        <w:rPr>
          <w:rFonts w:eastAsia="Times New Roman" w:cs="Times New Roman" w:ascii="Times New Roman" w:hAnsi="Times New Roman"/>
          <w:sz w:val="24"/>
          <w:szCs w:val="24"/>
        </w:rPr>
        <w:t>,</w:t>
      </w:r>
      <w:r>
        <w:rPr>
          <w:rStyle w:val="EndnoteAnchor"/>
          <w:rStyle w:val="EndnoteAnchor"/>
          <w:rFonts w:eastAsia="Times New Roman" w:cs="Times New Roman" w:ascii="Times New Roman" w:hAnsi="Times New Roman"/>
          <w:sz w:val="24"/>
          <w:szCs w:val="24"/>
          <w:vertAlign w:val="superscript"/>
        </w:rPr>
        <w:endnoteReference w:id="6"/>
      </w:r>
      <w:r>
        <w:rPr>
          <w:rFonts w:eastAsia="Times New Roman" w:cs="Times New Roman" w:ascii="Times New Roman" w:hAnsi="Times New Roman"/>
          <w:sz w:val="24"/>
          <w:szCs w:val="24"/>
        </w:rPr>
        <w:t>,</w:t>
      </w:r>
      <w:r>
        <w:rPr>
          <w:rStyle w:val="EndnoteAnchor"/>
          <w:rStyle w:val="EndnoteAnchor"/>
          <w:rFonts w:eastAsia="Times New Roman" w:cs="Times New Roman" w:ascii="Times New Roman" w:hAnsi="Times New Roman"/>
          <w:sz w:val="24"/>
          <w:szCs w:val="24"/>
        </w:rPr>
        <w:endnoteReference w:id="7"/>
      </w:r>
      <w:r>
        <w:rPr>
          <w:rFonts w:eastAsia="Times New Roman" w:cs="Times New Roman" w:ascii="Times New Roman" w:hAnsi="Times New Roman"/>
          <w:sz w:val="24"/>
          <w:szCs w:val="24"/>
        </w:rPr>
        <w:t xml:space="preserve"> but little research has been done on the risk to human health from </w:t>
      </w:r>
      <w:r>
        <w:rPr>
          <w:rFonts w:eastAsia="Times New Roman" w:cs="Times New Roman" w:ascii="Times New Roman" w:hAnsi="Times New Roman"/>
          <w:i/>
          <w:sz w:val="24"/>
          <w:szCs w:val="24"/>
        </w:rPr>
        <w:t>ingesting</w:t>
      </w:r>
      <w:r>
        <w:rPr>
          <w:rFonts w:eastAsia="Times New Roman" w:cs="Times New Roman" w:ascii="Times New Roman" w:hAnsi="Times New Roman"/>
          <w:sz w:val="24"/>
          <w:szCs w:val="24"/>
        </w:rPr>
        <w:t xml:space="preserve"> contaminants from smoke and ash on produce grown near a wildfire. </w:t>
      </w:r>
    </w:p>
    <w:p>
      <w:pPr>
        <w:pStyle w:val="LO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spacing w:lineRule="auto" w:line="240"/>
        <w:rPr>
          <w:rFonts w:ascii="Times New Roman" w:hAnsi="Times New Roman" w:eastAsia="Times New Roman" w:cs="Times New Roman"/>
          <w:b/>
          <w:b/>
          <w:i/>
          <w:i/>
          <w:sz w:val="24"/>
          <w:szCs w:val="24"/>
        </w:rPr>
      </w:pPr>
      <w:r>
        <w:drawing>
          <wp:anchor behindDoc="0" distT="0" distB="6350" distL="114300" distR="114300" simplePos="0" locked="0" layoutInCell="1" allowOverlap="1" relativeHeight="2">
            <wp:simplePos x="0" y="0"/>
            <wp:positionH relativeFrom="column">
              <wp:posOffset>3086100</wp:posOffset>
            </wp:positionH>
            <wp:positionV relativeFrom="paragraph">
              <wp:posOffset>-7620</wp:posOffset>
            </wp:positionV>
            <wp:extent cx="2971800" cy="2635250"/>
            <wp:effectExtent l="0" t="0" r="0" b="0"/>
            <wp:wrapSquare wrapText="bothSides"/>
            <wp:docPr id="1" name="Picture 1" descr="https://scontent.fsnc1-1.fna.fbcdn.net/v/t1.0-9/34342297_640937576244246_1852499079293042688_n.png?_nc_cat=0&amp;oh=b3a626a6a74b4d1092771cf16b785569&amp;oe=5B787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scontent.fsnc1-1.fna.fbcdn.net/v/t1.0-9/34342297_640937576244246_1852499079293042688_n.png?_nc_cat=0&amp;oh=b3a626a6a74b4d1092771cf16b785569&amp;oe=5B787A55"/>
                    <pic:cNvPicPr>
                      <a:picLocks noChangeAspect="1" noChangeArrowheads="1"/>
                    </pic:cNvPicPr>
                  </pic:nvPicPr>
                  <pic:blipFill>
                    <a:blip r:embed="rId2"/>
                    <a:srcRect l="0" t="0" r="0" b="11313"/>
                    <a:stretch>
                      <a:fillRect/>
                    </a:stretch>
                  </pic:blipFill>
                  <pic:spPr bwMode="auto">
                    <a:xfrm>
                      <a:off x="0" y="0"/>
                      <a:ext cx="2971800" cy="2635250"/>
                    </a:xfrm>
                    <a:prstGeom prst="rect">
                      <a:avLst/>
                    </a:prstGeom>
                  </pic:spPr>
                </pic:pic>
              </a:graphicData>
            </a:graphic>
          </wp:anchor>
        </w:drawing>
      </w:r>
      <w:r>
        <w:rPr>
          <w:rFonts w:eastAsia="Times New Roman" w:cs="Times New Roman" w:ascii="Times New Roman" w:hAnsi="Times New Roman"/>
          <w:b/>
          <w:i/>
          <w:sz w:val="24"/>
          <w:szCs w:val="24"/>
        </w:rPr>
        <w:t>I</w:t>
      </w:r>
      <w:r>
        <w:rPr>
          <w:rFonts w:eastAsia="Times New Roman" w:cs="Times New Roman" w:ascii="Times New Roman" w:hAnsi="Times New Roman"/>
          <w:b/>
          <w:i/>
          <w:sz w:val="24"/>
          <w:szCs w:val="24"/>
        </w:rPr>
        <w:t>mpact on Local Farms and Gardens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Local farms and gardens played a significant role in food relief efforts immediately following the fires, contributing produce to shelters and kitchens. Many farmers, gardeners, and community members have been concerned about how the fire-related air pollution might impact locally-grown produce. Farmers have been unsure of the potential health impacts of the fire on themselves, their workers, and their consumers. School, community, and home gardeners have been concerned about the potential health impact on children and other vulnerable groups. </w:t>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t>Citizen Science Initiative</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In the weeks following the Sonoma County fires, concerned community members came together to launch the Produce Safety after Urban Wildfire Citizen Science Initiative. Sonoma County residents and members of the UC Master Gardener Program of Sonoma County collaborated to take samples from over 25 sites across the region using a sampling protocol created under advisement by UC Environmental Health and Food Safety Specialists. Samples included washed and unwashed produce, each in triplicate, to determine if contaminants are present and whether contaminants can be easily washed off produce. Volunteers focused on leafy greens with large surface area directly exposed to air pollution: kale, collards, chard, and lettuce. In total, over 200 samples were taken and frozen for subsequent laboratory analysis. </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In the months following the fire, soil contamination became a greater concern for the community. Community-led soil sampling was initiated in June 2018 using a protocol developed in collaboration with UC Berkeley graduate students. Three sites were analysed to test for persistent chemicals in the soil.</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t>POTENTIAL HAZARDS FROM SMOKE</w:t>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p>
    <w:p>
      <w:pPr>
        <w:pStyle w:val="Normal"/>
        <w:rPr>
          <w:rFonts w:eastAsia="Times New Roman"/>
          <w:color w:val="222222"/>
          <w:sz w:val="24"/>
          <w:szCs w:val="24"/>
          <w:highlight w:val="white"/>
          <w:lang w:val="en-US"/>
        </w:rPr>
      </w:pPr>
      <w:r>
        <w:rPr>
          <w:rFonts w:eastAsia="Times New Roman" w:cs="Times New Roman" w:ascii="Times New Roman" w:hAnsi="Times New Roman"/>
          <w:sz w:val="24"/>
          <w:szCs w:val="24"/>
        </w:rPr>
        <w:t xml:space="preserve">The short and long-term health impacts of smoke inhalation have been well documented over the past century, particularly from the study of occupational exposures in factories. In 1963, the Clean Air Act created a national mandate to monitor and control air pollution, and created a list of 6 “criteria air pollutants” for which the EPA sets national standards for enforcement: </w:t>
      </w:r>
      <w:r>
        <w:rPr>
          <w:rFonts w:eastAsia="Times New Roman"/>
          <w:color w:val="222222"/>
          <w:sz w:val="24"/>
          <w:szCs w:val="24"/>
          <w:shd w:fill="FFFFFF" w:val="clear"/>
          <w:lang w:val="en-US"/>
        </w:rPr>
        <w:t>carbon monoxide, lead, ground-level ozone, nitrogen dioxide, particulate matter, and sulfur dioxide.</w:t>
      </w:r>
    </w:p>
    <w:p>
      <w:pPr>
        <w:pStyle w:val="Normal"/>
        <w:rPr>
          <w:rFonts w:eastAsia="Times New Roman"/>
          <w:color w:val="222222"/>
          <w:sz w:val="24"/>
          <w:szCs w:val="24"/>
          <w:highlight w:val="white"/>
          <w:lang w:val="en-US"/>
        </w:rPr>
      </w:pPr>
      <w:r>
        <w:rPr>
          <w:rFonts w:eastAsia="Times New Roman"/>
          <w:color w:val="222222"/>
          <w:sz w:val="24"/>
          <w:szCs w:val="24"/>
          <w:highlight w:val="white"/>
          <w:lang w:val="en-US"/>
        </w:rPr>
      </w:r>
    </w:p>
    <w:p>
      <w:pPr>
        <w:pStyle w:val="ListParagraph"/>
        <w:numPr>
          <w:ilvl w:val="0"/>
          <w:numId w:val="5"/>
        </w:numPr>
        <w:rPr>
          <w:rFonts w:ascii="Times New Roman" w:hAnsi="Times New Roman" w:eastAsia="Times New Roman" w:cs="Times New Roman"/>
          <w:sz w:val="20"/>
          <w:szCs w:val="20"/>
          <w:lang w:val="en-US"/>
        </w:rPr>
      </w:pPr>
      <w:r>
        <w:rPr>
          <w:rFonts w:eastAsia="Times New Roman"/>
          <w:color w:val="222222"/>
          <w:sz w:val="24"/>
          <w:szCs w:val="24"/>
          <w:shd w:fill="FFFFFF" w:val="clear"/>
          <w:lang w:val="en-US"/>
        </w:rPr>
        <w:t>WILDFIRE SMOKE</w:t>
      </w:r>
    </w:p>
    <w:p>
      <w:pPr>
        <w:pStyle w:val="ListParagraph"/>
        <w:numPr>
          <w:ilvl w:val="0"/>
          <w:numId w:val="5"/>
        </w:numPr>
        <w:rPr>
          <w:rFonts w:ascii="Times New Roman" w:hAnsi="Times New Roman" w:eastAsia="Times New Roman" w:cs="Times New Roman"/>
          <w:sz w:val="20"/>
          <w:szCs w:val="20"/>
          <w:lang w:val="en-US"/>
        </w:rPr>
      </w:pPr>
      <w:r>
        <w:rPr>
          <w:rFonts w:eastAsia="Times New Roman"/>
          <w:color w:val="222222"/>
          <w:sz w:val="24"/>
          <w:szCs w:val="24"/>
          <w:shd w:fill="FFFFFF" w:val="clear"/>
          <w:lang w:val="en-US"/>
        </w:rPr>
        <w:t>URBAN WILDFIRE SMOKE</w:t>
      </w:r>
    </w:p>
    <w:p>
      <w:pPr>
        <w:pStyle w:val="ListParagraph"/>
        <w:numPr>
          <w:ilvl w:val="0"/>
          <w:numId w:val="5"/>
        </w:numPr>
        <w:rPr>
          <w:rFonts w:ascii="Times New Roman" w:hAnsi="Times New Roman" w:eastAsia="Times New Roman" w:cs="Times New Roman"/>
          <w:sz w:val="20"/>
          <w:szCs w:val="20"/>
          <w:lang w:val="en-US"/>
        </w:rPr>
      </w:pPr>
      <w:r>
        <w:rPr>
          <w:rFonts w:eastAsia="Times New Roman"/>
          <w:color w:val="222222"/>
          <w:sz w:val="24"/>
          <w:szCs w:val="24"/>
          <w:shd w:fill="FFFFFF" w:val="clear"/>
          <w:lang w:val="en-US"/>
        </w:rPr>
        <w:t>INGESTION OF PERSISTANT AIR POLLUTANTS</w:t>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t xml:space="preserve"> </w:t>
      </w:r>
    </w:p>
    <w:tbl>
      <w:tblPr>
        <w:tblStyle w:val="TableGrid"/>
        <w:tblW w:w="9576" w:type="dxa"/>
        <w:jc w:val="left"/>
        <w:tblInd w:w="0" w:type="dxa"/>
        <w:tblCellMar>
          <w:top w:w="0" w:type="dxa"/>
          <w:left w:w="108" w:type="dxa"/>
          <w:bottom w:w="0" w:type="dxa"/>
          <w:right w:w="108" w:type="dxa"/>
        </w:tblCellMar>
        <w:tblLook w:noVBand="1" w:val="04a0" w:noHBand="0" w:lastColumn="0" w:firstColumn="1" w:lastRow="0" w:firstRow="1"/>
      </w:tblPr>
      <w:tblGrid>
        <w:gridCol w:w="4788"/>
        <w:gridCol w:w="270"/>
        <w:gridCol w:w="4518"/>
      </w:tblGrid>
      <w:tr>
        <w:trPr>
          <w:trHeight w:val="3635" w:hRule="atLeast"/>
        </w:trPr>
        <w:tc>
          <w:tcPr>
            <w:tcW w:w="4788" w:type="dxa"/>
            <w:tcBorders/>
            <w:shd w:fill="auto" w:val="clear"/>
          </w:tcPr>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b/>
                <w:color w:val="1F497D" w:themeColor="text2"/>
                <w:sz w:val="24"/>
                <w:szCs w:val="24"/>
              </w:rPr>
              <w:t xml:space="preserve">Polycyclic Aromatic Hydrocarbons (PAHs) </w:t>
            </w:r>
            <w:r>
              <w:rPr>
                <w:rStyle w:val="EndnoteAnchor"/>
                <w:rStyle w:val="EndnoteAnchor"/>
                <w:rFonts w:eastAsia="Times New Roman" w:cs="Times New Roman" w:ascii="Abadi MT Condensed Light" w:hAnsi="Abadi MT Condensed Light"/>
                <w:b/>
                <w:color w:val="365F91" w:themeColor="accent1" w:themeShade="bf"/>
                <w:sz w:val="40"/>
                <w:szCs w:val="40"/>
              </w:rPr>
              <w:endnoteReference w:id="8"/>
            </w:r>
            <w:r>
              <w:rPr>
                <w:rFonts w:eastAsia="Times New Roman" w:cs="Times New Roman" w:ascii="Times New Roman" w:hAnsi="Times New Roman"/>
                <w:color w:val="215868" w:themeColor="accent5" w:themeShade="80"/>
                <w:sz w:val="24"/>
                <w:szCs w:val="24"/>
              </w:rPr>
              <w:br/>
              <w:t xml:space="preserve">are a class of very small carcinogenic chemicals that come from the combustion of organic materials. Traffic-related air pollution is a common source. They also enter the diet through grilling, drying, and smoking foods. PAHs generally have a low degree of </w:t>
            </w:r>
            <w:r>
              <w:rPr>
                <w:rFonts w:eastAsia="Times New Roman" w:cs="Times New Roman" w:ascii="Times New Roman" w:hAnsi="Times New Roman"/>
                <w:i/>
                <w:color w:val="215868" w:themeColor="accent5" w:themeShade="80"/>
                <w:sz w:val="24"/>
                <w:szCs w:val="24"/>
              </w:rPr>
              <w:t>acute</w:t>
            </w:r>
            <w:r>
              <w:rPr>
                <w:rFonts w:eastAsia="Times New Roman" w:cs="Times New Roman" w:ascii="Times New Roman" w:hAnsi="Times New Roman"/>
                <w:color w:val="215868" w:themeColor="accent5" w:themeShade="80"/>
                <w:sz w:val="24"/>
                <w:szCs w:val="24"/>
              </w:rPr>
              <w:t xml:space="preserve"> toxicity to humans, with effects occuring only over time. Some PAHs impact brain development in fetuses and children.</w:t>
            </w:r>
          </w:p>
        </w:tc>
        <w:tc>
          <w:tcPr>
            <w:tcW w:w="270" w:type="dxa"/>
            <w:tcBorders>
              <w:top w:val="nil"/>
              <w:bottom w:val="nil"/>
            </w:tcBorders>
            <w:shd w:fill="auto" w:val="clear"/>
          </w:tcPr>
          <w:p>
            <w:pPr>
              <w:pStyle w:val="Normal"/>
              <w:spacing w:lineRule="auto" w:line="240"/>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p>
        </w:tc>
        <w:tc>
          <w:tcPr>
            <w:tcW w:w="4518" w:type="dxa"/>
            <w:tcBorders/>
            <w:shd w:fill="auto" w:val="clear"/>
          </w:tcPr>
          <w:p>
            <w:pPr>
              <w:pStyle w:val="Normal"/>
              <w:spacing w:lineRule="auto" w:line="240"/>
              <w:rPr>
                <w:rFonts w:ascii="Times New Roman" w:hAnsi="Times New Roman" w:eastAsia="Times New Roman" w:cs="Times New Roman"/>
                <w:b/>
                <w:b/>
                <w:color w:val="1F497D" w:themeColor="text2"/>
                <w:sz w:val="24"/>
                <w:szCs w:val="24"/>
              </w:rPr>
            </w:pPr>
            <w:r>
              <w:rPr>
                <w:rFonts w:eastAsia="Times New Roman" w:cs="Times New Roman" w:ascii="Times New Roman" w:hAnsi="Times New Roman"/>
                <w:b/>
                <w:color w:val="1F497D" w:themeColor="text2"/>
                <w:sz w:val="24"/>
                <w:szCs w:val="24"/>
              </w:rPr>
              <w:t xml:space="preserve">Heavy Metals </w:t>
            </w:r>
            <w:r>
              <w:rPr>
                <w:rStyle w:val="EndnoteAnchor"/>
                <w:rStyle w:val="EndnoteAnchor"/>
                <w:rFonts w:eastAsia="Times New Roman" w:cs="Times New Roman" w:ascii="Abadi MT Condensed Light" w:hAnsi="Abadi MT Condensed Light"/>
                <w:b/>
                <w:color w:val="365F91" w:themeColor="accent1" w:themeShade="bf"/>
                <w:sz w:val="40"/>
                <w:szCs w:val="40"/>
              </w:rPr>
              <w:endnoteReference w:id="9"/>
            </w:r>
          </w:p>
          <w:p>
            <w:pPr>
              <w:pStyle w:val="Normal"/>
              <w:spacing w:lineRule="auto" w:line="240"/>
              <w:rPr>
                <w:rFonts w:ascii="Times New Roman" w:hAnsi="Times New Roman" w:eastAsia="Times New Roman" w:cs="Times New Roman"/>
                <w:b/>
                <w:b/>
                <w:color w:val="1F497D" w:themeColor="text2"/>
                <w:sz w:val="24"/>
                <w:szCs w:val="24"/>
              </w:rPr>
            </w:pPr>
            <w:r>
              <w:rPr>
                <w:rFonts w:eastAsia="Times New Roman" w:cs="Times New Roman" w:ascii="Times New Roman" w:hAnsi="Times New Roman"/>
                <w:color w:val="215868" w:themeColor="accent5" w:themeShade="80"/>
                <w:sz w:val="24"/>
                <w:szCs w:val="24"/>
              </w:rPr>
              <w:t>are persistent contaminants. They exist naturally in soil, but can be emitted in toxic levels from industrial activities. During an urban fire, they could be present in smoke from burning buildings and cars. Some are critical nutrients for life, like iron for red blood cell function. Others, like lead, arsenic, and mercury, can be carcinogenic, toxic to many organ systems, and cause developmental effects on fetuses and children.</w:t>
            </w:r>
          </w:p>
        </w:tc>
      </w:tr>
      <w:tr>
        <w:trPr>
          <w:trHeight w:val="233" w:hRule="atLeast"/>
        </w:trPr>
        <w:tc>
          <w:tcPr>
            <w:tcW w:w="4788" w:type="dxa"/>
            <w:tcBorders>
              <w:left w:val="nil"/>
              <w:right w:val="nil"/>
            </w:tcBorders>
            <w:shd w:fill="auto" w:val="clear"/>
          </w:tcPr>
          <w:p>
            <w:pPr>
              <w:pStyle w:val="Normal"/>
              <w:spacing w:lineRule="auto" w:line="240"/>
              <w:rPr>
                <w:rFonts w:ascii="Abadi MT Condensed Light" w:hAnsi="Abadi MT Condensed Light" w:eastAsia="Times New Roman" w:cs="Times New Roman"/>
                <w:b/>
                <w:b/>
                <w:color w:val="365F91" w:themeColor="accent1" w:themeShade="bf"/>
                <w:sz w:val="24"/>
                <w:szCs w:val="24"/>
              </w:rPr>
            </w:pPr>
            <w:r>
              <w:rPr>
                <w:rFonts w:eastAsia="Times New Roman" w:cs="Times New Roman" w:ascii="Abadi MT Condensed Light" w:hAnsi="Abadi MT Condensed Light"/>
                <w:b/>
                <w:color w:val="365F91" w:themeColor="accent1" w:themeShade="bf"/>
                <w:sz w:val="24"/>
                <w:szCs w:val="24"/>
              </w:rPr>
            </w:r>
          </w:p>
        </w:tc>
        <w:tc>
          <w:tcPr>
            <w:tcW w:w="270" w:type="dxa"/>
            <w:tcBorders>
              <w:top w:val="nil"/>
              <w:left w:val="nil"/>
              <w:bottom w:val="nil"/>
              <w:right w:val="nil"/>
            </w:tcBorders>
            <w:shd w:fill="auto" w:val="clear"/>
          </w:tcPr>
          <w:p>
            <w:pPr>
              <w:pStyle w:val="Normal"/>
              <w:spacing w:lineRule="auto" w:line="240"/>
              <w:rPr>
                <w:rFonts w:ascii="Abadi MT Condensed Light" w:hAnsi="Abadi MT Condensed Light" w:eastAsia="Times New Roman" w:cs="Times New Roman"/>
                <w:b/>
                <w:b/>
                <w:color w:val="365F91" w:themeColor="accent1" w:themeShade="bf"/>
                <w:sz w:val="24"/>
                <w:szCs w:val="24"/>
              </w:rPr>
            </w:pPr>
            <w:r>
              <w:rPr>
                <w:rFonts w:eastAsia="Times New Roman" w:cs="Times New Roman" w:ascii="Abadi MT Condensed Light" w:hAnsi="Abadi MT Condensed Light"/>
                <w:b/>
                <w:color w:val="365F91" w:themeColor="accent1" w:themeShade="bf"/>
                <w:sz w:val="24"/>
                <w:szCs w:val="24"/>
              </w:rPr>
            </w:r>
          </w:p>
        </w:tc>
        <w:tc>
          <w:tcPr>
            <w:tcW w:w="4518" w:type="dxa"/>
            <w:tcBorders>
              <w:left w:val="nil"/>
              <w:right w:val="nil"/>
            </w:tcBorders>
            <w:shd w:fill="auto" w:val="clear"/>
          </w:tcPr>
          <w:p>
            <w:pPr>
              <w:pStyle w:val="Normal"/>
              <w:spacing w:lineRule="auto" w:line="240"/>
              <w:rPr>
                <w:rFonts w:ascii="Abadi MT Condensed Light" w:hAnsi="Abadi MT Condensed Light" w:eastAsia="Times New Roman" w:cs="Times New Roman"/>
                <w:b/>
                <w:b/>
                <w:color w:val="365F91" w:themeColor="accent1" w:themeShade="bf"/>
                <w:sz w:val="24"/>
                <w:szCs w:val="24"/>
              </w:rPr>
            </w:pPr>
            <w:r>
              <w:rPr>
                <w:rFonts w:eastAsia="Times New Roman" w:cs="Times New Roman" w:ascii="Abadi MT Condensed Light" w:hAnsi="Abadi MT Condensed Light"/>
                <w:b/>
                <w:color w:val="365F91" w:themeColor="accent1" w:themeShade="bf"/>
                <w:sz w:val="24"/>
                <w:szCs w:val="24"/>
              </w:rPr>
            </w:r>
          </w:p>
        </w:tc>
      </w:tr>
      <w:tr>
        <w:trPr/>
        <w:tc>
          <w:tcPr>
            <w:tcW w:w="4788" w:type="dxa"/>
            <w:tcBorders/>
            <w:shd w:fill="auto" w:val="clear"/>
          </w:tcPr>
          <w:p>
            <w:pPr>
              <w:pStyle w:val="Normal"/>
              <w:spacing w:lineRule="auto" w:line="240"/>
              <w:rPr>
                <w:rFonts w:ascii="Abadi MT Condensed Light" w:hAnsi="Abadi MT Condensed Light" w:eastAsia="Times New Roman" w:cs="Times New Roman"/>
                <w:b/>
                <w:b/>
                <w:color w:val="365F91" w:themeColor="accent1" w:themeShade="bf"/>
                <w:sz w:val="40"/>
                <w:szCs w:val="40"/>
              </w:rPr>
            </w:pPr>
            <w:r>
              <w:rPr>
                <w:rFonts w:eastAsia="Times New Roman" w:cs="Times New Roman" w:ascii="Times New Roman" w:hAnsi="Times New Roman"/>
                <w:b/>
                <w:color w:val="1F497D" w:themeColor="text2"/>
                <w:sz w:val="24"/>
                <w:szCs w:val="24"/>
              </w:rPr>
              <w:t>Polychlorinated Biphenyls (PCBs)</w:t>
            </w:r>
          </w:p>
        </w:tc>
        <w:tc>
          <w:tcPr>
            <w:tcW w:w="270" w:type="dxa"/>
            <w:tcBorders>
              <w:top w:val="nil"/>
              <w:bottom w:val="nil"/>
            </w:tcBorders>
            <w:shd w:fill="auto" w:val="clear"/>
          </w:tcPr>
          <w:p>
            <w:pPr>
              <w:pStyle w:val="Normal"/>
              <w:spacing w:lineRule="auto" w:line="240"/>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p>
        </w:tc>
        <w:tc>
          <w:tcPr>
            <w:tcW w:w="4518" w:type="dxa"/>
            <w:tcBorders/>
            <w:shd w:fill="auto" w:val="clear"/>
          </w:tcPr>
          <w:p>
            <w:pPr>
              <w:pStyle w:val="Normal"/>
              <w:spacing w:lineRule="auto" w:line="240"/>
              <w:rPr>
                <w:rFonts w:ascii="Times New Roman" w:hAnsi="Times New Roman" w:eastAsia="Times New Roman" w:cs="Times New Roman"/>
                <w:b/>
                <w:b/>
                <w:color w:val="1F497D" w:themeColor="text2"/>
                <w:sz w:val="24"/>
                <w:szCs w:val="24"/>
              </w:rPr>
            </w:pPr>
            <w:r>
              <w:rPr>
                <w:rFonts w:eastAsia="Times New Roman" w:cs="Times New Roman" w:ascii="Times New Roman" w:hAnsi="Times New Roman"/>
                <w:b/>
                <w:color w:val="1F497D" w:themeColor="text2"/>
                <w:sz w:val="24"/>
                <w:szCs w:val="24"/>
              </w:rPr>
              <w:t>Dioxins &amp; Furans</w:t>
            </w:r>
            <w:r>
              <w:rPr>
                <w:rStyle w:val="EndnoteAnchor"/>
                <w:rStyle w:val="EndnoteAnchor"/>
                <w:rFonts w:eastAsia="Times New Roman" w:cs="Times New Roman" w:ascii="Abadi MT Condensed Light" w:hAnsi="Abadi MT Condensed Light"/>
                <w:b/>
                <w:color w:val="365F91" w:themeColor="accent1" w:themeShade="bf"/>
                <w:sz w:val="40"/>
                <w:szCs w:val="40"/>
              </w:rPr>
              <w:endnoteReference w:id="10"/>
            </w:r>
          </w:p>
          <w:p>
            <w:pPr>
              <w:pStyle w:val="Normal"/>
              <w:spacing w:lineRule="auto" w:line="240"/>
              <w:rPr>
                <w:rFonts w:ascii="Times New Roman" w:hAnsi="Times New Roman" w:eastAsia="Times New Roman" w:cs="Times New Roman"/>
                <w:color w:val="215868" w:themeColor="accent5" w:themeShade="80"/>
                <w:sz w:val="24"/>
                <w:szCs w:val="24"/>
              </w:rPr>
            </w:pPr>
            <w:r>
              <w:rPr>
                <w:rFonts w:eastAsia="Times New Roman" w:cs="Times New Roman" w:ascii="Times New Roman" w:hAnsi="Times New Roman"/>
                <w:color w:val="215868" w:themeColor="accent5" w:themeShade="80"/>
                <w:sz w:val="24"/>
                <w:szCs w:val="24"/>
              </w:rPr>
              <w:t xml:space="preserve">are persistent organic pollutants. They are created through the combustion of plastic products and can travel long distances through air pollution. They bind to fats and will accumulate up the food-chain, including breast milk. Toxic effects inclue immune toxicity, developmental, and hormonal effects. Children and breastfeeding infants are more at risk for long-term health impacts. </w:t>
            </w:r>
          </w:p>
          <w:p>
            <w:pPr>
              <w:pStyle w:val="Normal"/>
              <w:spacing w:lineRule="auto" w:line="240"/>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p>
        </w:tc>
      </w:tr>
    </w:tbl>
    <w:p>
      <w:pPr>
        <w:pStyle w:val="Normal"/>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t>DETERMINING RISK</w:t>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mc:AlternateContent>
          <mc:Choice Requires="wps">
            <w:drawing>
              <wp:anchor behindDoc="0" distT="0" distB="0" distL="114300" distR="114300" simplePos="0" locked="0" layoutInCell="1" allowOverlap="1" relativeHeight="11" wp14:anchorId="4EA06E05">
                <wp:simplePos x="0" y="0"/>
                <wp:positionH relativeFrom="column">
                  <wp:posOffset>3429000</wp:posOffset>
                </wp:positionH>
                <wp:positionV relativeFrom="paragraph">
                  <wp:posOffset>58420</wp:posOffset>
                </wp:positionV>
                <wp:extent cx="2630170" cy="2966085"/>
                <wp:effectExtent l="0" t="0" r="38100" b="32385"/>
                <wp:wrapSquare wrapText="bothSides"/>
                <wp:docPr id="2" name="Text Box 4"/>
                <a:graphic xmlns:a="http://schemas.openxmlformats.org/drawingml/2006/main">
                  <a:graphicData uri="http://schemas.microsoft.com/office/word/2010/wordprocessingShape">
                    <wps:wsp>
                      <wps:cNvSpPr/>
                      <wps:spPr>
                        <a:xfrm>
                          <a:off x="0" y="0"/>
                          <a:ext cx="2629440" cy="2965320"/>
                        </a:xfrm>
                        <a:prstGeom prst="rect">
                          <a:avLst/>
                        </a:prstGeom>
                        <a:noFill/>
                        <a:ln w="12600">
                          <a:solidFill>
                            <a:schemeClr val="tx2"/>
                          </a:solidFill>
                          <a:round/>
                        </a:ln>
                      </wps:spPr>
                      <wps:style>
                        <a:lnRef idx="0">
                          <a:schemeClr val="accent1"/>
                        </a:lnRef>
                        <a:fillRef idx="0">
                          <a:schemeClr val="accent1"/>
                        </a:fillRef>
                        <a:effectRef idx="0">
                          <a:schemeClr val="accent1"/>
                        </a:effectRef>
                        <a:fontRef idx="minor"/>
                      </wps:style>
                      <wps:txbx>
                        <w:txbxContent>
                          <w:p>
                            <w:pPr>
                              <w:pStyle w:val="FrameContents"/>
                              <w:rPr>
                                <w:rFonts w:ascii="Times New Roman" w:hAnsi="Times New Roman" w:eastAsia="Times New Roman" w:cs="Times New Roman"/>
                                <w:b/>
                                <w:b/>
                                <w:color w:val="1F497D" w:themeColor="text2"/>
                                <w:sz w:val="24"/>
                                <w:szCs w:val="24"/>
                              </w:rPr>
                            </w:pPr>
                            <w:r>
                              <w:rPr>
                                <w:rFonts w:eastAsia="Times New Roman" w:cs="Times New Roman" w:ascii="Times New Roman" w:hAnsi="Times New Roman"/>
                                <w:b/>
                                <w:color w:val="1F497D" w:themeColor="text2"/>
                                <w:sz w:val="24"/>
                                <w:szCs w:val="24"/>
                              </w:rPr>
                              <w:t>“</w:t>
                            </w:r>
                            <w:r>
                              <w:rPr>
                                <w:rFonts w:eastAsia="Times New Roman" w:cs="Times New Roman" w:ascii="Times New Roman" w:hAnsi="Times New Roman"/>
                                <w:b/>
                                <w:color w:val="1F497D" w:themeColor="text2"/>
                                <w:sz w:val="24"/>
                                <w:szCs w:val="24"/>
                              </w:rPr>
                              <w:t>No Significant Risk Level” (NSRL)</w:t>
                            </w:r>
                          </w:p>
                          <w:p>
                            <w:pPr>
                              <w:pStyle w:val="FrameContents"/>
                              <w:rPr/>
                            </w:pPr>
                            <w:r>
                              <w:rPr>
                                <w:rFonts w:eastAsia="Times New Roman" w:cs="Times New Roman" w:ascii="Times New Roman" w:hAnsi="Times New Roman"/>
                                <w:color w:val="215868" w:themeColor="accent5" w:themeShade="80"/>
                                <w:sz w:val="24"/>
                                <w:szCs w:val="24"/>
                              </w:rPr>
                              <w:t xml:space="preserve">According to the OEHHA website, Proposition 65 </w:t>
                            </w:r>
                            <w:r>
                              <w:rPr>
                                <w:rFonts w:eastAsia="Times New Roman" w:cs="Times New Roman" w:ascii="Times New Roman" w:hAnsi="Times New Roman"/>
                                <w:i/>
                                <w:color w:val="215868" w:themeColor="accent5" w:themeShade="80"/>
                                <w:sz w:val="24"/>
                                <w:szCs w:val="24"/>
                              </w:rPr>
                              <w:t>“defines “no significant risk” as a level of exposure that would cause no more than 1 extra case of cancer in 100,000 people over a 70-year lifetime. So a compound can be unlabeled if a person exposed to the substance at the expected level for 70 years is estimated to have a 1 in 100,000 chance or less of getting cancer due to that exposure. The law also has similar strict cutoff levels for birth defects and reproductive harm.”</w:t>
                            </w:r>
                          </w:p>
                        </w:txbxContent>
                      </wps:txbx>
                      <wps:bodyPr>
                        <a:prstTxWarp prst="textNoShape"/>
                        <a:noAutofit/>
                      </wps:bodyPr>
                    </wps:wsp>
                  </a:graphicData>
                </a:graphic>
              </wp:anchor>
            </w:drawing>
          </mc:Choice>
          <mc:Fallback>
            <w:pict>
              <v:rect id="shape_0" ID="Text Box 4" stroked="t" style="position:absolute;margin-left:270pt;margin-top:4.6pt;width:207pt;height:233.45pt" wp14:anchorId="4EA06E05">
                <w10:wrap type="square"/>
                <v:fill o:detectmouseclick="t" on="false"/>
                <v:stroke color="#1f497d" weight="12600" joinstyle="round" endcap="flat"/>
                <v:textbox>
                  <w:txbxContent>
                    <w:p>
                      <w:pPr>
                        <w:pStyle w:val="FrameContents"/>
                        <w:rPr>
                          <w:rFonts w:ascii="Times New Roman" w:hAnsi="Times New Roman" w:eastAsia="Times New Roman" w:cs="Times New Roman"/>
                          <w:b/>
                          <w:b/>
                          <w:color w:val="1F497D" w:themeColor="text2"/>
                          <w:sz w:val="24"/>
                          <w:szCs w:val="24"/>
                        </w:rPr>
                      </w:pPr>
                      <w:r>
                        <w:rPr>
                          <w:rFonts w:eastAsia="Times New Roman" w:cs="Times New Roman" w:ascii="Times New Roman" w:hAnsi="Times New Roman"/>
                          <w:b/>
                          <w:color w:val="1F497D" w:themeColor="text2"/>
                          <w:sz w:val="24"/>
                          <w:szCs w:val="24"/>
                        </w:rPr>
                        <w:t>“</w:t>
                      </w:r>
                      <w:r>
                        <w:rPr>
                          <w:rFonts w:eastAsia="Times New Roman" w:cs="Times New Roman" w:ascii="Times New Roman" w:hAnsi="Times New Roman"/>
                          <w:b/>
                          <w:color w:val="1F497D" w:themeColor="text2"/>
                          <w:sz w:val="24"/>
                          <w:szCs w:val="24"/>
                        </w:rPr>
                        <w:t>No Significant Risk Level” (NSRL)</w:t>
                      </w:r>
                    </w:p>
                    <w:p>
                      <w:pPr>
                        <w:pStyle w:val="FrameContents"/>
                        <w:rPr/>
                      </w:pPr>
                      <w:r>
                        <w:rPr>
                          <w:rFonts w:eastAsia="Times New Roman" w:cs="Times New Roman" w:ascii="Times New Roman" w:hAnsi="Times New Roman"/>
                          <w:color w:val="215868" w:themeColor="accent5" w:themeShade="80"/>
                          <w:sz w:val="24"/>
                          <w:szCs w:val="24"/>
                        </w:rPr>
                        <w:t xml:space="preserve">According to the OEHHA website, Proposition 65 </w:t>
                      </w:r>
                      <w:r>
                        <w:rPr>
                          <w:rFonts w:eastAsia="Times New Roman" w:cs="Times New Roman" w:ascii="Times New Roman" w:hAnsi="Times New Roman"/>
                          <w:i/>
                          <w:color w:val="215868" w:themeColor="accent5" w:themeShade="80"/>
                          <w:sz w:val="24"/>
                          <w:szCs w:val="24"/>
                        </w:rPr>
                        <w:t>“defines “no significant risk” as a level of exposure that would cause no more than 1 extra case of cancer in 100,000 people over a 70-year lifetime. So a compound can be unlabeled if a person exposed to the substance at the expected level for 70 years is estimated to have a 1 in 100,000 chance or less of getting cancer due to that exposure. The law also has similar strict cutoff levels for birth defects and reproductive harm.”</w:t>
                      </w:r>
                    </w:p>
                  </w:txbxContent>
                </v:textbox>
              </v:rect>
            </w:pict>
          </mc:Fallback>
        </mc:AlternateContent>
      </w:r>
      <w:r>
        <w:rPr>
          <w:rFonts w:eastAsia="Times New Roman" w:cs="Times New Roman" w:ascii="Times New Roman" w:hAnsi="Times New Roman"/>
          <w:b/>
          <w:i/>
          <w:sz w:val="24"/>
          <w:szCs w:val="24"/>
        </w:rPr>
        <w:t>Foliar Samples: Proposition 65</w:t>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In order to determine whether levels of contaminants on produce were “safe”, we compared our laboratory results to the “No Significant Risk Level” (NSRL) established by California’s Occupational and Environmental Health Hazard Assessments (OEHHA) under Proposition 65</w:t>
      </w:r>
      <w:r>
        <w:rPr>
          <w:rStyle w:val="EndnoteAnchor"/>
          <w:rStyle w:val="EndnoteAnchor"/>
          <w:rFonts w:eastAsia="Times New Roman" w:cs="Times New Roman" w:ascii="Times New Roman" w:hAnsi="Times New Roman"/>
          <w:sz w:val="24"/>
          <w:szCs w:val="24"/>
        </w:rPr>
        <w:endnoteReference w:id="11"/>
      </w:r>
      <w:r>
        <w:rPr>
          <w:rFonts w:eastAsia="Times New Roman" w:cs="Times New Roman" w:ascii="Times New Roman" w:hAnsi="Times New Roman"/>
          <w:sz w:val="24"/>
          <w:szCs w:val="24"/>
        </w:rPr>
        <w:t xml:space="preserve">. </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Proposition 65 is officially known as the “Safe Drinking Water and Toxic Enforcement Act of 1986”. It was enacted as a ballot initiative to protect drinking water and inform Californians about exposures to chemicals shown to cause cancer, reproductive harm, and neurological impacts. Under the law, businesses selling products containing these chemicals at levels that pose significant risk must inform customers with a Proposition 65 warning on the package.</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mc:AlternateContent>
          <mc:Choice Requires="wps">
            <w:drawing>
              <wp:anchor behindDoc="0" distT="0" distB="0" distL="114300" distR="114300" simplePos="0" locked="0" layoutInCell="1" allowOverlap="1" relativeHeight="12" wp14:anchorId="3438CEB8">
                <wp:simplePos x="0" y="0"/>
                <wp:positionH relativeFrom="column">
                  <wp:posOffset>3429000</wp:posOffset>
                </wp:positionH>
                <wp:positionV relativeFrom="paragraph">
                  <wp:posOffset>27940</wp:posOffset>
                </wp:positionV>
                <wp:extent cx="2630170" cy="2119630"/>
                <wp:effectExtent l="0" t="0" r="38100" b="15240"/>
                <wp:wrapSquare wrapText="bothSides"/>
                <wp:docPr id="4" name="Text Box 25"/>
                <a:graphic xmlns:a="http://schemas.openxmlformats.org/drawingml/2006/main">
                  <a:graphicData uri="http://schemas.microsoft.com/office/word/2010/wordprocessingShape">
                    <wps:wsp>
                      <wps:cNvSpPr/>
                      <wps:spPr>
                        <a:xfrm>
                          <a:off x="0" y="0"/>
                          <a:ext cx="2629440" cy="2118960"/>
                        </a:xfrm>
                        <a:prstGeom prst="rect">
                          <a:avLst/>
                        </a:prstGeom>
                        <a:noFill/>
                        <a:ln w="12600">
                          <a:solidFill>
                            <a:schemeClr val="tx2"/>
                          </a:solidFill>
                          <a:round/>
                        </a:ln>
                      </wps:spPr>
                      <wps:style>
                        <a:lnRef idx="0">
                          <a:schemeClr val="accent1"/>
                        </a:lnRef>
                        <a:fillRef idx="0">
                          <a:schemeClr val="accent1"/>
                        </a:fillRef>
                        <a:effectRef idx="0">
                          <a:schemeClr val="accent1"/>
                        </a:effectRef>
                        <a:fontRef idx="minor"/>
                      </wps:style>
                      <wps:txbx>
                        <w:txbxContent>
                          <w:p>
                            <w:pPr>
                              <w:pStyle w:val="FrameContents"/>
                              <w:rPr>
                                <w:rFonts w:ascii="Times New Roman" w:hAnsi="Times New Roman" w:eastAsia="Times New Roman" w:cs="Times New Roman"/>
                                <w:b/>
                                <w:b/>
                                <w:color w:val="1F497D" w:themeColor="text2"/>
                                <w:sz w:val="24"/>
                                <w:szCs w:val="24"/>
                              </w:rPr>
                            </w:pPr>
                            <w:r>
                              <w:rPr>
                                <w:rFonts w:eastAsia="Times New Roman" w:cs="Times New Roman" w:ascii="Times New Roman" w:hAnsi="Times New Roman"/>
                                <w:b/>
                                <w:color w:val="1F497D" w:themeColor="text2"/>
                                <w:sz w:val="24"/>
                                <w:szCs w:val="24"/>
                              </w:rPr>
                              <w:t>“</w:t>
                            </w:r>
                            <w:r>
                              <w:rPr>
                                <w:rFonts w:eastAsia="Times New Roman" w:cs="Times New Roman" w:ascii="Times New Roman" w:hAnsi="Times New Roman"/>
                                <w:b/>
                                <w:color w:val="1F497D" w:themeColor="text2"/>
                                <w:sz w:val="24"/>
                                <w:szCs w:val="24"/>
                              </w:rPr>
                              <w:t xml:space="preserve">Target Cancer Risk” </w:t>
                            </w:r>
                          </w:p>
                          <w:p>
                            <w:pPr>
                              <w:pStyle w:val="FrameContents"/>
                              <w:rPr/>
                            </w:pPr>
                            <w:r>
                              <w:rPr>
                                <w:rFonts w:eastAsia="Times New Roman" w:cs="Times New Roman" w:ascii="Times New Roman" w:hAnsi="Times New Roman"/>
                                <w:color w:val="215868" w:themeColor="accent5" w:themeShade="80"/>
                                <w:sz w:val="24"/>
                                <w:szCs w:val="24"/>
                              </w:rPr>
                              <w:t>Both OEHHA and the EPA calculate their soil screening levels based on a target cancer risk of 1 extra case of cacer in a million people, making it even stricter than the Proposition 65 levels. As with Prop 65, these soil standards are calculated for cancer risk over a 70-year lifetime of exposure.</w:t>
                            </w:r>
                          </w:p>
                        </w:txbxContent>
                      </wps:txbx>
                      <wps:bodyPr>
                        <a:prstTxWarp prst="textNoShape"/>
                        <a:noAutofit/>
                      </wps:bodyPr>
                    </wps:wsp>
                  </a:graphicData>
                </a:graphic>
              </wp:anchor>
            </w:drawing>
          </mc:Choice>
          <mc:Fallback>
            <w:pict>
              <v:rect id="shape_0" ID="Text Box 25" stroked="t" style="position:absolute;margin-left:270pt;margin-top:2.2pt;width:207pt;height:166.8pt" wp14:anchorId="3438CEB8">
                <w10:wrap type="square"/>
                <v:fill o:detectmouseclick="t" on="false"/>
                <v:stroke color="#1f497d" weight="12600" joinstyle="round" endcap="flat"/>
                <v:textbox>
                  <w:txbxContent>
                    <w:p>
                      <w:pPr>
                        <w:pStyle w:val="FrameContents"/>
                        <w:rPr>
                          <w:rFonts w:ascii="Times New Roman" w:hAnsi="Times New Roman" w:eastAsia="Times New Roman" w:cs="Times New Roman"/>
                          <w:b/>
                          <w:b/>
                          <w:color w:val="1F497D" w:themeColor="text2"/>
                          <w:sz w:val="24"/>
                          <w:szCs w:val="24"/>
                        </w:rPr>
                      </w:pPr>
                      <w:r>
                        <w:rPr>
                          <w:rFonts w:eastAsia="Times New Roman" w:cs="Times New Roman" w:ascii="Times New Roman" w:hAnsi="Times New Roman"/>
                          <w:b/>
                          <w:color w:val="1F497D" w:themeColor="text2"/>
                          <w:sz w:val="24"/>
                          <w:szCs w:val="24"/>
                        </w:rPr>
                        <w:t>“</w:t>
                      </w:r>
                      <w:r>
                        <w:rPr>
                          <w:rFonts w:eastAsia="Times New Roman" w:cs="Times New Roman" w:ascii="Times New Roman" w:hAnsi="Times New Roman"/>
                          <w:b/>
                          <w:color w:val="1F497D" w:themeColor="text2"/>
                          <w:sz w:val="24"/>
                          <w:szCs w:val="24"/>
                        </w:rPr>
                        <w:t xml:space="preserve">Target Cancer Risk” </w:t>
                      </w:r>
                    </w:p>
                    <w:p>
                      <w:pPr>
                        <w:pStyle w:val="FrameContents"/>
                        <w:rPr/>
                      </w:pPr>
                      <w:r>
                        <w:rPr>
                          <w:rFonts w:eastAsia="Times New Roman" w:cs="Times New Roman" w:ascii="Times New Roman" w:hAnsi="Times New Roman"/>
                          <w:color w:val="215868" w:themeColor="accent5" w:themeShade="80"/>
                          <w:sz w:val="24"/>
                          <w:szCs w:val="24"/>
                        </w:rPr>
                        <w:t>Both OEHHA and the EPA calculate their soil screening levels based on a target cancer risk of 1 extra case of cacer in a million people, making it even stricter than the Proposition 65 levels. As with Prop 65, these soil standards are calculated for cancer risk over a 70-year lifetime of exposure.</w:t>
                      </w:r>
                    </w:p>
                  </w:txbxContent>
                </v:textbox>
              </v:rect>
            </w:pict>
          </mc:Fallback>
        </mc:AlternateContent>
      </w:r>
      <w:r>
        <w:rPr>
          <w:rFonts w:eastAsia="Times New Roman" w:cs="Times New Roman" w:ascii="Times New Roman" w:hAnsi="Times New Roman"/>
          <w:b/>
          <w:i/>
          <w:sz w:val="24"/>
          <w:szCs w:val="24"/>
        </w:rPr>
        <w:t xml:space="preserve">Soil Samples: Soil Screening Levels </w:t>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We used soil screening levels from the Environmental Protection Agency (EPA) and OEHHA. </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We used the EPA’s Regional Soil Screening tables, and selected the Resident Soil level with a target hazard quotient of 1</w:t>
      </w:r>
      <w:r>
        <w:rPr>
          <w:rStyle w:val="EndnoteAnchor"/>
          <w:rStyle w:val="EndnoteAnchor"/>
          <w:rFonts w:eastAsia="Times New Roman" w:cs="Times New Roman" w:ascii="Times New Roman" w:hAnsi="Times New Roman"/>
          <w:sz w:val="24"/>
          <w:szCs w:val="24"/>
        </w:rPr>
        <w:endnoteReference w:id="12"/>
      </w:r>
      <w:r>
        <w:rPr>
          <w:rFonts w:eastAsia="Times New Roman" w:cs="Times New Roman" w:ascii="Times New Roman" w:hAnsi="Times New Roman"/>
          <w:sz w:val="24"/>
          <w:szCs w:val="24"/>
        </w:rPr>
        <w:t>. We used OEHHA’s California Human Health Screening Levels (CHHSLs) table and selected the Residential Scenario values</w:t>
      </w:r>
      <w:r>
        <w:rPr>
          <w:rStyle w:val="EndnoteAnchor"/>
          <w:rStyle w:val="EndnoteAnchor"/>
          <w:rFonts w:eastAsia="Times New Roman" w:cs="Times New Roman" w:ascii="Times New Roman" w:hAnsi="Times New Roman"/>
          <w:sz w:val="24"/>
          <w:szCs w:val="24"/>
        </w:rPr>
        <w:endnoteReference w:id="13"/>
      </w:r>
      <w:r>
        <w:rPr>
          <w:rFonts w:eastAsia="Times New Roman" w:cs="Times New Roman" w:ascii="Times New Roman" w:hAnsi="Times New Roman"/>
          <w:sz w:val="24"/>
          <w:szCs w:val="24"/>
        </w:rPr>
        <w:t xml:space="preserve">. </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For heavy metals, we also compared our laboaratory results to the Sonoma County Complex Fire Cleanup Goals set by the Sonoma County Department of Health Services Public Health Division</w:t>
      </w:r>
      <w:r>
        <w:rPr>
          <w:rStyle w:val="EndnoteAnchor"/>
          <w:rStyle w:val="EndnoteAnchor"/>
          <w:rFonts w:eastAsia="Times New Roman" w:cs="Times New Roman" w:ascii="Times New Roman" w:hAnsi="Times New Roman"/>
          <w:sz w:val="24"/>
          <w:szCs w:val="24"/>
        </w:rPr>
        <w:endnoteReference w:id="14"/>
      </w:r>
      <w:r>
        <w:rPr>
          <w:rFonts w:eastAsia="Times New Roman" w:cs="Times New Roman" w:ascii="Times New Roman" w:hAnsi="Times New Roman"/>
          <w:sz w:val="24"/>
          <w:szCs w:val="24"/>
        </w:rPr>
        <w:t>.</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cs="Times New Roman"/>
          <w:b/>
          <w:b/>
          <w:i/>
          <w:i/>
          <w:sz w:val="24"/>
          <w:szCs w:val="24"/>
          <w:lang w:val="en-US"/>
        </w:rPr>
      </w:pPr>
      <w:r>
        <w:rPr>
          <w:rFonts w:cs="Times New Roman" w:ascii="Times New Roman" w:hAnsi="Times New Roman"/>
          <w:b/>
          <w:i/>
          <w:sz w:val="24"/>
          <w:szCs w:val="24"/>
          <w:lang w:val="en-US"/>
        </w:rPr>
      </w:r>
    </w:p>
    <w:p>
      <w:pPr>
        <w:pStyle w:val="Normal"/>
        <w:spacing w:lineRule="auto" w:line="240"/>
        <w:rPr>
          <w:rFonts w:ascii="Times New Roman" w:hAnsi="Times New Roman" w:cs="Times New Roman"/>
          <w:b/>
          <w:b/>
          <w:i/>
          <w:i/>
          <w:sz w:val="24"/>
          <w:szCs w:val="24"/>
          <w:lang w:val="en-US"/>
        </w:rPr>
      </w:pPr>
      <w:r>
        <w:rPr>
          <w:rFonts w:cs="Times New Roman" w:ascii="Times New Roman" w:hAnsi="Times New Roman"/>
          <w:b/>
          <w:i/>
          <w:sz w:val="24"/>
          <w:szCs w:val="24"/>
          <w:lang w:val="en-US"/>
        </w:rPr>
        <w:t>Cumulative Risk Assessment</w:t>
      </w:r>
    </w:p>
    <w:p>
      <w:pPr>
        <w:pStyle w:val="Normal"/>
        <w:spacing w:lineRule="auto" w:line="240"/>
        <w:rPr>
          <w:rFonts w:ascii="Times New Roman" w:hAnsi="Times New Roman" w:cs="Times New Roman"/>
          <w:b/>
          <w:b/>
          <w:i/>
          <w:i/>
          <w:sz w:val="24"/>
          <w:szCs w:val="24"/>
          <w:lang w:val="en-US"/>
        </w:rPr>
      </w:pPr>
      <w:r>
        <w:rPr>
          <w:rFonts w:cs="Times New Roman" w:ascii="Times New Roman" w:hAnsi="Times New Roman"/>
          <w:b/>
          <w:i/>
          <w:sz w:val="24"/>
          <w:szCs w:val="24"/>
          <w:lang w:val="en-US"/>
        </w:rPr>
      </w:r>
    </w:p>
    <w:p>
      <w:pPr>
        <w:pStyle w:val="Normal"/>
        <w:spacing w:lineRule="auto" w:line="240"/>
        <w:rPr>
          <w:rFonts w:ascii="Times New Roman" w:hAnsi="Times New Roman" w:eastAsia="Times New Roman" w:cs="Times New Roman"/>
          <w:color w:val="222222"/>
          <w:sz w:val="24"/>
          <w:szCs w:val="24"/>
        </w:rPr>
      </w:pPr>
      <w:r>
        <w:rPr>
          <w:rFonts w:cs="Times New Roman" w:ascii="Times New Roman" w:hAnsi="Times New Roman"/>
          <w:sz w:val="24"/>
          <w:szCs w:val="24"/>
          <w:lang w:val="en-US"/>
        </w:rPr>
        <w:t xml:space="preserve">Rather than examining only one chemical and only one route of exposure, our study uses a cumulative approach to examine the total set of exposures that could impact health, including and beyond chemical exposures. Wildfires hitting an urban area create innumerable </w:t>
      </w:r>
      <w:r>
        <w:rPr>
          <w:rFonts w:cs="Times New Roman" w:ascii="Times New Roman" w:hAnsi="Times New Roman"/>
          <w:b/>
          <w:bCs/>
          <w:sz w:val="24"/>
          <w:szCs w:val="24"/>
          <w:lang w:val="en-US"/>
        </w:rPr>
        <w:t>health hazards</w:t>
      </w:r>
      <w:r>
        <w:rPr>
          <w:rFonts w:cs="Times New Roman" w:ascii="Times New Roman" w:hAnsi="Times New Roman"/>
          <w:sz w:val="24"/>
          <w:szCs w:val="24"/>
          <w:lang w:val="en-US"/>
        </w:rPr>
        <w:t xml:space="preserve"> for communities and the smoke from the fire can impact an even larger geographic area. When evaluating smoke on local produce, a </w:t>
      </w:r>
      <w:r>
        <w:rPr>
          <w:rFonts w:cs="Times New Roman" w:ascii="Times New Roman" w:hAnsi="Times New Roman"/>
          <w:b/>
          <w:bCs/>
          <w:sz w:val="24"/>
          <w:szCs w:val="24"/>
          <w:lang w:val="en-US"/>
        </w:rPr>
        <w:t>cumulative risk assessment</w:t>
      </w:r>
      <w:r>
        <w:rPr>
          <w:rFonts w:cs="Times New Roman" w:ascii="Times New Roman" w:hAnsi="Times New Roman"/>
          <w:sz w:val="24"/>
          <w:szCs w:val="24"/>
          <w:lang w:val="en-US"/>
        </w:rPr>
        <w:t xml:space="preserve"> provides a more balanced evaluation of </w:t>
      </w:r>
      <w:r>
        <w:rPr>
          <w:rFonts w:cs="Times New Roman" w:ascii="Times New Roman" w:hAnsi="Times New Roman"/>
          <w:b/>
          <w:bCs/>
          <w:sz w:val="24"/>
          <w:szCs w:val="24"/>
          <w:lang w:val="en-US"/>
        </w:rPr>
        <w:t>protective factors</w:t>
      </w:r>
      <w:r>
        <w:rPr>
          <w:rFonts w:cs="Times New Roman" w:ascii="Times New Roman" w:hAnsi="Times New Roman"/>
          <w:sz w:val="24"/>
          <w:szCs w:val="24"/>
          <w:lang w:val="en-US"/>
        </w:rPr>
        <w:t xml:space="preserve"> from local food, such as the health benefits of open green spaces and nutritious produce, and the socio-economic impacts of a strong local economy and interconnected community.</w:t>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t xml:space="preserve">Limitations </w:t>
      </w:r>
    </w:p>
    <w:p>
      <w:pPr>
        <w:pStyle w:val="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There are a number of significant limitations of our method. These include: low sample number, lack of replicates in many samples, lack of an adequate control sample for comparison, and a risk assessment approach that assumes chronic exposures. </w:t>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mc:AlternateContent>
          <mc:Choice Requires="wps">
            <w:drawing>
              <wp:anchor behindDoc="0" distT="0" distB="0" distL="114300" distR="114300" simplePos="0" locked="0" layoutInCell="1" allowOverlap="1" relativeHeight="3" wp14:anchorId="2846D18F">
                <wp:simplePos x="0" y="0"/>
                <wp:positionH relativeFrom="column">
                  <wp:posOffset>3314700</wp:posOffset>
                </wp:positionH>
                <wp:positionV relativeFrom="paragraph">
                  <wp:posOffset>152400</wp:posOffset>
                </wp:positionV>
                <wp:extent cx="2630170" cy="2744470"/>
                <wp:effectExtent l="0" t="0" r="38100" b="25400"/>
                <wp:wrapSquare wrapText="bothSides"/>
                <wp:docPr id="6" name="Text Box 13"/>
                <a:graphic xmlns:a="http://schemas.openxmlformats.org/drawingml/2006/main">
                  <a:graphicData uri="http://schemas.microsoft.com/office/word/2010/wordprocessingShape">
                    <wps:wsp>
                      <wps:cNvSpPr/>
                      <wps:spPr>
                        <a:xfrm>
                          <a:off x="0" y="0"/>
                          <a:ext cx="2629440" cy="2743920"/>
                        </a:xfrm>
                        <a:prstGeom prst="rect">
                          <a:avLst/>
                        </a:prstGeom>
                        <a:noFill/>
                        <a:ln w="12600">
                          <a:solidFill>
                            <a:schemeClr val="tx2"/>
                          </a:solidFill>
                          <a:round/>
                        </a:ln>
                      </wps:spPr>
                      <wps:style>
                        <a:lnRef idx="0">
                          <a:schemeClr val="accent1"/>
                        </a:lnRef>
                        <a:fillRef idx="0">
                          <a:schemeClr val="accent1"/>
                        </a:fillRef>
                        <a:effectRef idx="0">
                          <a:schemeClr val="accent1"/>
                        </a:effectRef>
                        <a:fontRef idx="minor"/>
                      </wps:style>
                      <wps:txbx>
                        <w:txbxContent>
                          <w:p>
                            <w:pPr>
                              <w:pStyle w:val="FrameContents"/>
                              <w:rPr>
                                <w:rFonts w:ascii="Times New Roman" w:hAnsi="Times New Roman" w:eastAsia="Times New Roman" w:cs="Times New Roman"/>
                                <w:i/>
                                <w:i/>
                                <w:color w:val="215868" w:themeColor="accent5" w:themeShade="80"/>
                                <w:sz w:val="24"/>
                                <w:szCs w:val="24"/>
                              </w:rPr>
                            </w:pPr>
                            <w:r>
                              <w:rPr>
                                <w:rFonts w:eastAsia="Times New Roman" w:cs="Times New Roman" w:ascii="Times New Roman" w:hAnsi="Times New Roman"/>
                                <w:b/>
                                <w:color w:val="1F497D" w:themeColor="text2"/>
                                <w:sz w:val="24"/>
                                <w:szCs w:val="24"/>
                              </w:rPr>
                              <w:t>“</w:t>
                            </w:r>
                            <w:r>
                              <w:rPr>
                                <w:rFonts w:eastAsia="Times New Roman" w:cs="Times New Roman" w:ascii="Times New Roman" w:hAnsi="Times New Roman"/>
                                <w:b/>
                                <w:color w:val="1F497D" w:themeColor="text2"/>
                                <w:sz w:val="24"/>
                                <w:szCs w:val="24"/>
                              </w:rPr>
                              <w:t xml:space="preserve">Acute, Chronic &amp; Subchronic” </w:t>
                            </w:r>
                          </w:p>
                          <w:p>
                            <w:pPr>
                              <w:pStyle w:val="FrameContents"/>
                              <w:rPr>
                                <w:rFonts w:ascii="Times New Roman" w:hAnsi="Times New Roman" w:eastAsia="Times New Roman" w:cs="Times New Roman"/>
                                <w:sz w:val="20"/>
                                <w:szCs w:val="20"/>
                                <w:lang w:val="en-US"/>
                              </w:rPr>
                            </w:pPr>
                            <w:r>
                              <w:rPr>
                                <w:rFonts w:eastAsia="Times New Roman" w:cs="Times New Roman" w:ascii="Times New Roman" w:hAnsi="Times New Roman"/>
                                <w:i/>
                                <w:color w:val="215868" w:themeColor="accent5" w:themeShade="80"/>
                                <w:sz w:val="24"/>
                                <w:szCs w:val="24"/>
                              </w:rPr>
                              <w:t>The length of the exposure can make a significant difference in whether or not an exposure has health consequences.</w:t>
                            </w:r>
                          </w:p>
                          <w:p>
                            <w:pPr>
                              <w:pStyle w:val="FrameContents"/>
                              <w:rPr>
                                <w:rFonts w:ascii="Times New Roman" w:hAnsi="Times New Roman" w:eastAsia="Times New Roman" w:cs="Times New Roman"/>
                                <w:i/>
                                <w:i/>
                                <w:color w:val="215868" w:themeColor="accent5" w:themeShade="80"/>
                                <w:sz w:val="24"/>
                                <w:szCs w:val="24"/>
                              </w:rPr>
                            </w:pPr>
                            <w:r>
                              <w:rPr>
                                <w:rFonts w:eastAsia="Times New Roman" w:cs="Times New Roman" w:ascii="Times New Roman" w:hAnsi="Times New Roman"/>
                                <w:i/>
                                <w:color w:val="215868" w:themeColor="accent5" w:themeShade="80"/>
                                <w:sz w:val="24"/>
                                <w:szCs w:val="24"/>
                              </w:rPr>
                            </w:r>
                          </w:p>
                          <w:p>
                            <w:pPr>
                              <w:pStyle w:val="FrameContents"/>
                              <w:ind w:left="360" w:hanging="360"/>
                              <w:rPr>
                                <w:rFonts w:ascii="Times New Roman" w:hAnsi="Times New Roman" w:eastAsia="Times New Roman" w:cs="Times New Roman"/>
                                <w:i/>
                                <w:i/>
                                <w:color w:val="215868" w:themeColor="accent5" w:themeShade="80"/>
                                <w:sz w:val="24"/>
                                <w:szCs w:val="24"/>
                              </w:rPr>
                            </w:pPr>
                            <w:r>
                              <w:rPr>
                                <w:rFonts w:eastAsia="Times New Roman" w:cs="Times New Roman" w:ascii="Times New Roman" w:hAnsi="Times New Roman"/>
                                <w:b/>
                                <w:i/>
                                <w:color w:val="215868" w:themeColor="accent5" w:themeShade="80"/>
                                <w:sz w:val="24"/>
                                <w:szCs w:val="24"/>
                              </w:rPr>
                              <w:t xml:space="preserve">Acute </w:t>
                            </w:r>
                            <w:r>
                              <w:rPr>
                                <w:rFonts w:eastAsia="Times New Roman" w:cs="Times New Roman" w:ascii="Times New Roman" w:hAnsi="Times New Roman"/>
                                <w:i/>
                                <w:color w:val="215868" w:themeColor="accent5" w:themeShade="80"/>
                                <w:sz w:val="24"/>
                                <w:szCs w:val="24"/>
                              </w:rPr>
                              <w:t>= exposure for under 24 hours</w:t>
                            </w:r>
                          </w:p>
                          <w:p>
                            <w:pPr>
                              <w:pStyle w:val="FrameContents"/>
                              <w:ind w:left="360" w:hanging="360"/>
                              <w:rPr>
                                <w:rFonts w:ascii="Times New Roman" w:hAnsi="Times New Roman" w:eastAsia="Times New Roman" w:cs="Times New Roman"/>
                                <w:b/>
                                <w:b/>
                                <w:i/>
                                <w:i/>
                                <w:color w:val="215868" w:themeColor="accent5" w:themeShade="80"/>
                                <w:sz w:val="24"/>
                                <w:szCs w:val="24"/>
                              </w:rPr>
                            </w:pPr>
                            <w:r>
                              <w:rPr>
                                <w:rFonts w:eastAsia="Times New Roman" w:cs="Times New Roman" w:ascii="Times New Roman" w:hAnsi="Times New Roman"/>
                                <w:b/>
                                <w:i/>
                                <w:color w:val="215868" w:themeColor="accent5" w:themeShade="80"/>
                                <w:sz w:val="24"/>
                                <w:szCs w:val="24"/>
                              </w:rPr>
                              <w:t xml:space="preserve">Subchronic </w:t>
                            </w:r>
                            <w:r>
                              <w:rPr>
                                <w:rFonts w:eastAsia="Times New Roman" w:cs="Times New Roman" w:ascii="Times New Roman" w:hAnsi="Times New Roman"/>
                                <w:i/>
                                <w:color w:val="215868" w:themeColor="accent5" w:themeShade="80"/>
                                <w:sz w:val="24"/>
                                <w:szCs w:val="24"/>
                              </w:rPr>
                              <w:t>= repeated exposure for more than 30 days, up to 10% of the lifespan</w:t>
                            </w:r>
                          </w:p>
                          <w:p>
                            <w:pPr>
                              <w:pStyle w:val="FrameContents"/>
                              <w:ind w:left="360" w:hanging="360"/>
                              <w:rPr/>
                            </w:pPr>
                            <w:r>
                              <w:rPr>
                                <w:rFonts w:eastAsia="Times New Roman" w:cs="Times New Roman" w:ascii="Times New Roman" w:hAnsi="Times New Roman"/>
                                <w:b/>
                                <w:i/>
                                <w:color w:val="215868" w:themeColor="accent5" w:themeShade="80"/>
                                <w:sz w:val="24"/>
                                <w:szCs w:val="24"/>
                              </w:rPr>
                              <w:t xml:space="preserve">Chronic </w:t>
                            </w:r>
                            <w:r>
                              <w:rPr>
                                <w:rFonts w:eastAsia="Times New Roman" w:cs="Times New Roman" w:ascii="Times New Roman" w:hAnsi="Times New Roman"/>
                                <w:i/>
                                <w:color w:val="215868" w:themeColor="accent5" w:themeShade="80"/>
                                <w:sz w:val="24"/>
                                <w:szCs w:val="24"/>
                              </w:rPr>
                              <w:t>= repeated exposure for more than 10% of the life span in humans (90 days to 2 years is typically used in lab animal studies)</w:t>
                            </w:r>
                          </w:p>
                        </w:txbxContent>
                      </wps:txbx>
                      <wps:bodyPr>
                        <a:prstTxWarp prst="textNoShape"/>
                        <a:noAutofit/>
                      </wps:bodyPr>
                    </wps:wsp>
                  </a:graphicData>
                </a:graphic>
              </wp:anchor>
            </w:drawing>
          </mc:Choice>
          <mc:Fallback>
            <w:pict>
              <v:rect id="shape_0" ID="Text Box 13" stroked="t" style="position:absolute;margin-left:261pt;margin-top:12pt;width:207pt;height:216pt" wp14:anchorId="2846D18F">
                <w10:wrap type="square"/>
                <v:fill o:detectmouseclick="t" on="false"/>
                <v:stroke color="#1f497d" weight="12600" joinstyle="round" endcap="flat"/>
                <v:textbox>
                  <w:txbxContent>
                    <w:p>
                      <w:pPr>
                        <w:pStyle w:val="FrameContents"/>
                        <w:rPr>
                          <w:rFonts w:ascii="Times New Roman" w:hAnsi="Times New Roman" w:eastAsia="Times New Roman" w:cs="Times New Roman"/>
                          <w:i/>
                          <w:i/>
                          <w:color w:val="215868" w:themeColor="accent5" w:themeShade="80"/>
                          <w:sz w:val="24"/>
                          <w:szCs w:val="24"/>
                        </w:rPr>
                      </w:pPr>
                      <w:r>
                        <w:rPr>
                          <w:rFonts w:eastAsia="Times New Roman" w:cs="Times New Roman" w:ascii="Times New Roman" w:hAnsi="Times New Roman"/>
                          <w:b/>
                          <w:color w:val="1F497D" w:themeColor="text2"/>
                          <w:sz w:val="24"/>
                          <w:szCs w:val="24"/>
                        </w:rPr>
                        <w:t>“</w:t>
                      </w:r>
                      <w:r>
                        <w:rPr>
                          <w:rFonts w:eastAsia="Times New Roman" w:cs="Times New Roman" w:ascii="Times New Roman" w:hAnsi="Times New Roman"/>
                          <w:b/>
                          <w:color w:val="1F497D" w:themeColor="text2"/>
                          <w:sz w:val="24"/>
                          <w:szCs w:val="24"/>
                        </w:rPr>
                        <w:t xml:space="preserve">Acute, Chronic &amp; Subchronic” </w:t>
                      </w:r>
                    </w:p>
                    <w:p>
                      <w:pPr>
                        <w:pStyle w:val="FrameContents"/>
                        <w:rPr>
                          <w:rFonts w:ascii="Times New Roman" w:hAnsi="Times New Roman" w:eastAsia="Times New Roman" w:cs="Times New Roman"/>
                          <w:sz w:val="20"/>
                          <w:szCs w:val="20"/>
                          <w:lang w:val="en-US"/>
                        </w:rPr>
                      </w:pPr>
                      <w:r>
                        <w:rPr>
                          <w:rFonts w:eastAsia="Times New Roman" w:cs="Times New Roman" w:ascii="Times New Roman" w:hAnsi="Times New Roman"/>
                          <w:i/>
                          <w:color w:val="215868" w:themeColor="accent5" w:themeShade="80"/>
                          <w:sz w:val="24"/>
                          <w:szCs w:val="24"/>
                        </w:rPr>
                        <w:t>The length of the exposure can make a significant difference in whether or not an exposure has health consequences.</w:t>
                      </w:r>
                    </w:p>
                    <w:p>
                      <w:pPr>
                        <w:pStyle w:val="FrameContents"/>
                        <w:rPr>
                          <w:rFonts w:ascii="Times New Roman" w:hAnsi="Times New Roman" w:eastAsia="Times New Roman" w:cs="Times New Roman"/>
                          <w:i/>
                          <w:i/>
                          <w:color w:val="215868" w:themeColor="accent5" w:themeShade="80"/>
                          <w:sz w:val="24"/>
                          <w:szCs w:val="24"/>
                        </w:rPr>
                      </w:pPr>
                      <w:r>
                        <w:rPr>
                          <w:rFonts w:eastAsia="Times New Roman" w:cs="Times New Roman" w:ascii="Times New Roman" w:hAnsi="Times New Roman"/>
                          <w:i/>
                          <w:color w:val="215868" w:themeColor="accent5" w:themeShade="80"/>
                          <w:sz w:val="24"/>
                          <w:szCs w:val="24"/>
                        </w:rPr>
                      </w:r>
                    </w:p>
                    <w:p>
                      <w:pPr>
                        <w:pStyle w:val="FrameContents"/>
                        <w:ind w:left="360" w:hanging="360"/>
                        <w:rPr>
                          <w:rFonts w:ascii="Times New Roman" w:hAnsi="Times New Roman" w:eastAsia="Times New Roman" w:cs="Times New Roman"/>
                          <w:i/>
                          <w:i/>
                          <w:color w:val="215868" w:themeColor="accent5" w:themeShade="80"/>
                          <w:sz w:val="24"/>
                          <w:szCs w:val="24"/>
                        </w:rPr>
                      </w:pPr>
                      <w:r>
                        <w:rPr>
                          <w:rFonts w:eastAsia="Times New Roman" w:cs="Times New Roman" w:ascii="Times New Roman" w:hAnsi="Times New Roman"/>
                          <w:b/>
                          <w:i/>
                          <w:color w:val="215868" w:themeColor="accent5" w:themeShade="80"/>
                          <w:sz w:val="24"/>
                          <w:szCs w:val="24"/>
                        </w:rPr>
                        <w:t xml:space="preserve">Acute </w:t>
                      </w:r>
                      <w:r>
                        <w:rPr>
                          <w:rFonts w:eastAsia="Times New Roman" w:cs="Times New Roman" w:ascii="Times New Roman" w:hAnsi="Times New Roman"/>
                          <w:i/>
                          <w:color w:val="215868" w:themeColor="accent5" w:themeShade="80"/>
                          <w:sz w:val="24"/>
                          <w:szCs w:val="24"/>
                        </w:rPr>
                        <w:t>= exposure for under 24 hours</w:t>
                      </w:r>
                    </w:p>
                    <w:p>
                      <w:pPr>
                        <w:pStyle w:val="FrameContents"/>
                        <w:ind w:left="360" w:hanging="360"/>
                        <w:rPr>
                          <w:rFonts w:ascii="Times New Roman" w:hAnsi="Times New Roman" w:eastAsia="Times New Roman" w:cs="Times New Roman"/>
                          <w:b/>
                          <w:b/>
                          <w:i/>
                          <w:i/>
                          <w:color w:val="215868" w:themeColor="accent5" w:themeShade="80"/>
                          <w:sz w:val="24"/>
                          <w:szCs w:val="24"/>
                        </w:rPr>
                      </w:pPr>
                      <w:r>
                        <w:rPr>
                          <w:rFonts w:eastAsia="Times New Roman" w:cs="Times New Roman" w:ascii="Times New Roman" w:hAnsi="Times New Roman"/>
                          <w:b/>
                          <w:i/>
                          <w:color w:val="215868" w:themeColor="accent5" w:themeShade="80"/>
                          <w:sz w:val="24"/>
                          <w:szCs w:val="24"/>
                        </w:rPr>
                        <w:t xml:space="preserve">Subchronic </w:t>
                      </w:r>
                      <w:r>
                        <w:rPr>
                          <w:rFonts w:eastAsia="Times New Roman" w:cs="Times New Roman" w:ascii="Times New Roman" w:hAnsi="Times New Roman"/>
                          <w:i/>
                          <w:color w:val="215868" w:themeColor="accent5" w:themeShade="80"/>
                          <w:sz w:val="24"/>
                          <w:szCs w:val="24"/>
                        </w:rPr>
                        <w:t>= repeated exposure for more than 30 days, up to 10% of the lifespan</w:t>
                      </w:r>
                    </w:p>
                    <w:p>
                      <w:pPr>
                        <w:pStyle w:val="FrameContents"/>
                        <w:ind w:left="360" w:hanging="360"/>
                        <w:rPr/>
                      </w:pPr>
                      <w:r>
                        <w:rPr>
                          <w:rFonts w:eastAsia="Times New Roman" w:cs="Times New Roman" w:ascii="Times New Roman" w:hAnsi="Times New Roman"/>
                          <w:b/>
                          <w:i/>
                          <w:color w:val="215868" w:themeColor="accent5" w:themeShade="80"/>
                          <w:sz w:val="24"/>
                          <w:szCs w:val="24"/>
                        </w:rPr>
                        <w:t xml:space="preserve">Chronic </w:t>
                      </w:r>
                      <w:r>
                        <w:rPr>
                          <w:rFonts w:eastAsia="Times New Roman" w:cs="Times New Roman" w:ascii="Times New Roman" w:hAnsi="Times New Roman"/>
                          <w:i/>
                          <w:color w:val="215868" w:themeColor="accent5" w:themeShade="80"/>
                          <w:sz w:val="24"/>
                          <w:szCs w:val="24"/>
                        </w:rPr>
                        <w:t>= repeated exposure for more than 10% of the life span in humans (90 days to 2 years is typically used in lab animal studies)</w:t>
                      </w:r>
                    </w:p>
                  </w:txbxContent>
                </v:textbox>
              </v:rect>
            </w:pict>
          </mc:Fallback>
        </mc:AlternateContent>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risk assessment methods that we have been using in this preliminary report </w:t>
      </w:r>
      <w:r>
        <w:rPr>
          <w:rFonts w:eastAsia="Times New Roman" w:cs="Times New Roman" w:ascii="Times New Roman" w:hAnsi="Times New Roman"/>
          <w:b/>
          <w:sz w:val="24"/>
          <w:szCs w:val="24"/>
        </w:rPr>
        <w:t>assumes a 70-year lifetime of exposure at the daily intake rate.</w:t>
      </w:r>
      <w:r>
        <w:rPr>
          <w:rFonts w:eastAsia="Times New Roman" w:cs="Times New Roman" w:ascii="Times New Roman" w:hAnsi="Times New Roman"/>
          <w:sz w:val="24"/>
          <w:szCs w:val="24"/>
        </w:rPr>
        <w:t xml:space="preserve"> Consuming local produce following an urban wildfire likely results in an acute or sub-chronic exposure due to the wildfire incident</w:t>
      </w:r>
      <w:r>
        <w:rPr>
          <w:rStyle w:val="EndnoteAnchor"/>
          <w:rStyle w:val="EndnoteAnchor"/>
          <w:rFonts w:eastAsia="Times New Roman" w:cs="Times New Roman" w:ascii="Times New Roman" w:hAnsi="Times New Roman"/>
          <w:color w:val="222222"/>
          <w:sz w:val="24"/>
          <w:szCs w:val="24"/>
        </w:rPr>
        <w:endnoteReference w:id="15"/>
      </w:r>
      <w:r>
        <w:rPr>
          <w:rFonts w:eastAsia="Times New Roman" w:cs="Times New Roman" w:ascii="Times New Roman" w:hAnsi="Times New Roman"/>
          <w:sz w:val="24"/>
          <w:szCs w:val="24"/>
        </w:rPr>
        <w:t xml:space="preserve">. The increasing frequency of wildfires means that a person may experience recurring acute or subacute exposures over their lifetime. However, exposure due to local produce is not likely to have a daily lifetime intake rates. </w:t>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Due to this significant method limitation, we suggest that all results be interpreted as </w:t>
      </w:r>
      <w:r>
        <w:rPr>
          <w:rFonts w:eastAsia="Times New Roman" w:cs="Times New Roman" w:ascii="Times New Roman" w:hAnsi="Times New Roman"/>
          <w:b/>
          <w:sz w:val="24"/>
          <w:szCs w:val="24"/>
          <w:u w:val="single"/>
        </w:rPr>
        <w:t>conservative overestimates of risk</w:t>
      </w:r>
      <w:r>
        <w:rPr>
          <w:rFonts w:eastAsia="Times New Roman" w:cs="Times New Roman" w:ascii="Times New Roman" w:hAnsi="Times New Roman"/>
          <w:b/>
          <w:sz w:val="24"/>
          <w:szCs w:val="24"/>
        </w:rPr>
        <w:t>.</w:t>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mc:AlternateContent>
          <mc:Choice Requires="wps">
            <w:drawing>
              <wp:anchor behindDoc="0" distT="0" distB="0" distL="114300" distR="114300" simplePos="0" locked="0" layoutInCell="1" allowOverlap="1" relativeHeight="16" wp14:anchorId="525A2829">
                <wp:simplePos x="0" y="0"/>
                <wp:positionH relativeFrom="column">
                  <wp:posOffset>0</wp:posOffset>
                </wp:positionH>
                <wp:positionV relativeFrom="paragraph">
                  <wp:posOffset>282575</wp:posOffset>
                </wp:positionV>
                <wp:extent cx="5944870" cy="435610"/>
                <wp:effectExtent l="0" t="0" r="25400" b="22860"/>
                <wp:wrapSquare wrapText="bothSides"/>
                <wp:docPr id="8" name="Text Box 14"/>
                <a:graphic xmlns:a="http://schemas.openxmlformats.org/drawingml/2006/main">
                  <a:graphicData uri="http://schemas.microsoft.com/office/word/2010/wordprocessingShape">
                    <wps:wsp>
                      <wps:cNvSpPr/>
                      <wps:spPr>
                        <a:xfrm>
                          <a:off x="0" y="0"/>
                          <a:ext cx="5944320" cy="434880"/>
                        </a:xfrm>
                        <a:prstGeom prst="rect">
                          <a:avLst/>
                        </a:prstGeom>
                        <a:solidFill>
                          <a:schemeClr val="accent6">
                            <a:lumMod val="20000"/>
                            <a:lumOff val="80000"/>
                          </a:schemeClr>
                        </a:solidFill>
                        <a:ln>
                          <a:solidFill>
                            <a:schemeClr val="accent6"/>
                          </a:solidFill>
                        </a:ln>
                      </wps:spPr>
                      <wps:style>
                        <a:lnRef idx="0">
                          <a:schemeClr val="accent1"/>
                        </a:lnRef>
                        <a:fillRef idx="0">
                          <a:schemeClr val="accent1"/>
                        </a:fillRef>
                        <a:effectRef idx="0">
                          <a:schemeClr val="accent1"/>
                        </a:effectRef>
                        <a:fontRef idx="minor"/>
                      </wps:style>
                      <wps:txbx>
                        <w:txbxContent>
                          <w:p>
                            <w:pPr>
                              <w:pStyle w:val="FrameContents"/>
                              <w:jc w:val="center"/>
                              <w:rPr>
                                <w:rFonts w:ascii="Times New Roman" w:hAnsi="Times New Roman" w:eastAsia="Times New Roman" w:cs="Times New Roman"/>
                                <w:b/>
                                <w:b/>
                                <w:i/>
                                <w:i/>
                                <w:color w:val="000000"/>
                                <w:sz w:val="32"/>
                                <w:szCs w:val="24"/>
                                <w:lang w:val="en-US"/>
                              </w:rPr>
                            </w:pPr>
                            <w:r>
                              <w:rPr>
                                <w:rFonts w:eastAsia="Times New Roman" w:cs="Times New Roman" w:ascii="Times New Roman" w:hAnsi="Times New Roman"/>
                                <w:b/>
                                <w:i/>
                                <w:color w:val="000000"/>
                                <w:sz w:val="32"/>
                                <w:szCs w:val="24"/>
                                <w:lang w:val="en-US"/>
                              </w:rPr>
                              <w:t>These methods provide an overestimate of risk.</w:t>
                            </w:r>
                          </w:p>
                          <w:p>
                            <w:pPr>
                              <w:pStyle w:val="FrameContents"/>
                              <w:tabs>
                                <w:tab w:val="clear" w:pos="720"/>
                                <w:tab w:val="left" w:pos="0" w:leader="none"/>
                              </w:tabs>
                              <w:jc w:val="center"/>
                              <w:rPr>
                                <w:rFonts w:ascii="Times New Roman" w:hAnsi="Times New Roman"/>
                                <w:sz w:val="24"/>
                                <w:szCs w:val="24"/>
                              </w:rPr>
                            </w:pPr>
                            <w:r>
                              <w:rPr>
                                <w:rFonts w:ascii="Times New Roman" w:hAnsi="Times New Roman"/>
                                <w:sz w:val="24"/>
                                <w:szCs w:val="24"/>
                              </w:rPr>
                            </w:r>
                          </w:p>
                          <w:p>
                            <w:pPr>
                              <w:pStyle w:val="FrameContents"/>
                              <w:tabs>
                                <w:tab w:val="clear" w:pos="720"/>
                                <w:tab w:val="left" w:pos="0" w:leader="none"/>
                              </w:tabs>
                              <w:jc w:val="center"/>
                              <w:rPr/>
                            </w:pPr>
                            <w:r>
                              <w:rPr/>
                            </w:r>
                          </w:p>
                        </w:txbxContent>
                      </wps:txbx>
                      <wps:bodyPr>
                        <a:prstTxWarp prst="textNoShape"/>
                        <a:noAutofit/>
                      </wps:bodyPr>
                    </wps:wsp>
                  </a:graphicData>
                </a:graphic>
              </wp:anchor>
            </w:drawing>
          </mc:Choice>
          <mc:Fallback>
            <w:pict>
              <v:rect id="shape_0" ID="Text Box 14" fillcolor="#fdeada" stroked="t" style="position:absolute;margin-left:0pt;margin-top:22.25pt;width:468pt;height:34.2pt" wp14:anchorId="525A2829">
                <w10:wrap type="square"/>
                <v:fill o:detectmouseclick="t" type="solid" color2="#021525"/>
                <v:stroke color="#f79646" joinstyle="round" endcap="flat"/>
                <v:textbox>
                  <w:txbxContent>
                    <w:p>
                      <w:pPr>
                        <w:pStyle w:val="FrameContents"/>
                        <w:jc w:val="center"/>
                        <w:rPr>
                          <w:rFonts w:ascii="Times New Roman" w:hAnsi="Times New Roman" w:eastAsia="Times New Roman" w:cs="Times New Roman"/>
                          <w:b/>
                          <w:b/>
                          <w:i/>
                          <w:i/>
                          <w:color w:val="000000"/>
                          <w:sz w:val="32"/>
                          <w:szCs w:val="24"/>
                          <w:lang w:val="en-US"/>
                        </w:rPr>
                      </w:pPr>
                      <w:r>
                        <w:rPr>
                          <w:rFonts w:eastAsia="Times New Roman" w:cs="Times New Roman" w:ascii="Times New Roman" w:hAnsi="Times New Roman"/>
                          <w:b/>
                          <w:i/>
                          <w:color w:val="000000"/>
                          <w:sz w:val="32"/>
                          <w:szCs w:val="24"/>
                          <w:lang w:val="en-US"/>
                        </w:rPr>
                        <w:t>These methods provide an overestimate of risk.</w:t>
                      </w:r>
                    </w:p>
                    <w:p>
                      <w:pPr>
                        <w:pStyle w:val="FrameContents"/>
                        <w:tabs>
                          <w:tab w:val="clear" w:pos="720"/>
                          <w:tab w:val="left" w:pos="0" w:leader="none"/>
                        </w:tabs>
                        <w:jc w:val="center"/>
                        <w:rPr>
                          <w:rFonts w:ascii="Times New Roman" w:hAnsi="Times New Roman"/>
                          <w:sz w:val="24"/>
                          <w:szCs w:val="24"/>
                        </w:rPr>
                      </w:pPr>
                      <w:r>
                        <w:rPr>
                          <w:rFonts w:ascii="Times New Roman" w:hAnsi="Times New Roman"/>
                          <w:sz w:val="24"/>
                          <w:szCs w:val="24"/>
                        </w:rPr>
                      </w:r>
                    </w:p>
                    <w:p>
                      <w:pPr>
                        <w:pStyle w:val="FrameContents"/>
                        <w:tabs>
                          <w:tab w:val="clear" w:pos="720"/>
                          <w:tab w:val="left" w:pos="0" w:leader="none"/>
                        </w:tabs>
                        <w:jc w:val="center"/>
                        <w:rPr/>
                      </w:pPr>
                      <w:r>
                        <w:rPr/>
                      </w:r>
                    </w:p>
                  </w:txbxContent>
                </v:textbox>
              </v:rect>
            </w:pict>
          </mc:Fallback>
        </mc:AlternateContent>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p>
    <w:p>
      <w:pPr>
        <w:pStyle w:val="Normal"/>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r>
        <w:br w:type="page"/>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drawing>
          <wp:anchor behindDoc="0" distT="0" distB="0" distL="0" distR="0" simplePos="0" locked="0" layoutInCell="1" allowOverlap="1" relativeHeight="97">
            <wp:simplePos x="0" y="0"/>
            <wp:positionH relativeFrom="page">
              <wp:posOffset>3474720</wp:posOffset>
            </wp:positionH>
            <wp:positionV relativeFrom="page">
              <wp:posOffset>1715770</wp:posOffset>
            </wp:positionV>
            <wp:extent cx="4297045" cy="3038475"/>
            <wp:effectExtent l="0" t="0" r="0" b="0"/>
            <wp:wrapSquare wrapText="largest"/>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3"/>
                    <a:stretch>
                      <a:fillRect/>
                    </a:stretch>
                  </pic:blipFill>
                  <pic:spPr bwMode="auto">
                    <a:xfrm>
                      <a:off x="0" y="0"/>
                      <a:ext cx="4297045" cy="3038475"/>
                    </a:xfrm>
                    <a:prstGeom prst="rect">
                      <a:avLst/>
                    </a:prstGeom>
                  </pic:spPr>
                </pic:pic>
              </a:graphicData>
            </a:graphic>
          </wp:anchor>
        </w:drawing>
      </w:r>
      <w:r>
        <w:rPr>
          <w:rFonts w:eastAsia="Times New Roman" w:cs="Times New Roman" w:ascii="Abadi MT Condensed Light" w:hAnsi="Abadi MT Condensed Light"/>
          <w:b/>
          <w:color w:val="365F91" w:themeColor="accent1" w:themeShade="bf"/>
          <w:sz w:val="40"/>
          <w:szCs w:val="40"/>
        </w:rPr>
        <w:t>PRELIMINARY ANALYSIS &amp; STUDY HYPOTHESIS</w:t>
      </w:r>
    </w:p>
    <w:p>
      <w:pPr>
        <w:pStyle w:val="LOnormal"/>
        <w:spacing w:lineRule="auto" w:line="240"/>
        <w:jc w:val="center"/>
        <w:rPr>
          <w:rFonts w:ascii="Abadi MT Condensed Light" w:hAnsi="Abadi MT Condensed Light" w:eastAsia="Times New Roman" w:cs="Times New Roman"/>
          <w:b/>
          <w:b/>
          <w:color w:val="365F91" w:themeColor="accent1" w:themeShade="bf"/>
          <w:sz w:val="24"/>
          <w:szCs w:val="24"/>
        </w:rPr>
      </w:pPr>
      <w:r>
        <w:rPr>
          <w:rFonts w:eastAsia="Times New Roman" w:cs="Times New Roman" w:ascii="Abadi MT Condensed Light" w:hAnsi="Abadi MT Condensed Light"/>
          <w:b/>
          <w:color w:val="365F91" w:themeColor="accent1" w:themeShade="bf"/>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b/>
          <w:i/>
          <w:sz w:val="24"/>
          <w:szCs w:val="24"/>
        </w:rPr>
        <w:t>Site Selection</w:t>
      </w:r>
      <w:r>
        <w:rPr>
          <w:rFonts w:eastAsia="Times New Roman" w:cs="Times New Roman" w:ascii="Times New Roman" w:hAnsi="Times New Roman"/>
          <w:sz w:val="24"/>
          <w:szCs w:val="24"/>
        </w:rPr>
        <w:t xml:space="preserve"> </w:t>
      </w:r>
    </w:p>
    <w:p>
      <w:pPr>
        <w:pStyle w:val="LOnormal"/>
        <w:spacing w:lineRule="auto" w:line="240"/>
        <w:rPr/>
      </w:pPr>
      <w:r>
        <w:rPr>
          <w:rFonts w:eastAsia="Times New Roman" w:cs="Times New Roman" w:ascii="Times New Roman" w:hAnsi="Times New Roman"/>
          <w:sz w:val="24"/>
          <w:szCs w:val="24"/>
        </w:rPr>
        <w:t xml:space="preserve">Our preliminary analysis tested samples from two high-priority sites that were most likely to have received deposits of toxic air contaminants from the urban burn. We created a meteorological model of particulate matter deposition </w:t>
      </w:r>
      <w:r>
        <w:rPr>
          <w:rFonts w:eastAsia="Times New Roman" w:cs="Times New Roman" w:ascii="Times New Roman" w:hAnsi="Times New Roman"/>
          <w:sz w:val="24"/>
          <w:szCs w:val="24"/>
        </w:rPr>
        <w:t>(NOAA HYSPLIT)</w:t>
      </w:r>
      <w:r>
        <w:rPr>
          <w:rFonts w:eastAsia="Times New Roman" w:cs="Times New Roman" w:ascii="Times New Roman" w:hAnsi="Times New Roman"/>
          <w:sz w:val="24"/>
          <w:szCs w:val="24"/>
        </w:rPr>
        <w:t xml:space="preserve"> from the urban burn area in Santa Rosa, and used this model to choose sites that were most likely to have chemicals from the smoke settle on their crops.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t>Samples, Tests, and Labs</w:t>
      </w:r>
    </w:p>
    <w:p>
      <w:pPr>
        <w:pStyle w:val="LOnormal"/>
        <w:spacing w:lineRule="auto" w:line="240"/>
        <w:rPr>
          <w:rFonts w:ascii="Times New Roman" w:hAnsi="Times New Roman" w:eastAsia="Times New Roman" w:cs="Times New Roman"/>
          <w:sz w:val="24"/>
          <w:szCs w:val="24"/>
        </w:rPr>
      </w:pPr>
      <w:r>
        <mc:AlternateContent>
          <mc:Choice Requires="wps">
            <w:drawing>
              <wp:anchor behindDoc="0" distT="0" distB="0" distL="0" distR="0" simplePos="0" locked="0" layoutInCell="1" allowOverlap="1" relativeHeight="99">
                <wp:simplePos x="0" y="0"/>
                <wp:positionH relativeFrom="column">
                  <wp:posOffset>3352800</wp:posOffset>
                </wp:positionH>
                <wp:positionV relativeFrom="paragraph">
                  <wp:posOffset>841375</wp:posOffset>
                </wp:positionV>
                <wp:extent cx="3479165" cy="782955"/>
                <wp:effectExtent l="0" t="0" r="0" b="0"/>
                <wp:wrapSquare wrapText="bothSides"/>
                <wp:docPr id="11" name="Shape2"/>
                <a:graphic xmlns:a="http://schemas.openxmlformats.org/drawingml/2006/main">
                  <a:graphicData uri="http://schemas.microsoft.com/office/word/2010/wordprocessingShape">
                    <wps:wsp>
                      <wps:cNvSpPr txBox="1"/>
                      <wps:spPr>
                        <a:xfrm>
                          <a:off x="0" y="0"/>
                          <a:ext cx="3478680" cy="782280"/>
                        </a:xfrm>
                        <a:prstGeom prst="rect">
                          <a:avLst/>
                        </a:prstGeom>
                        <a:noFill/>
                        <a:ln>
                          <a:noFill/>
                        </a:ln>
                      </wps:spPr>
                      <wps:txbx>
                        <w:txbxContent>
                          <w:p>
                            <w:pPr>
                              <w:overflowPunct w:val="false"/>
                              <w:spacing w:lineRule="auto" w:line="240"/>
                              <w:rPr/>
                            </w:pPr>
                            <w:r>
                              <w:rPr>
                                <w:sz w:val="18"/>
                                <w:szCs w:val="18"/>
                              </w:rPr>
                              <w:t>Results from the HYSPLIT meteorological model, predicting deposition of particles (rescaled as a proportion of maximum deposition)</w:t>
                            </w:r>
                          </w:p>
                        </w:txbxContent>
                      </wps:txbx>
                      <wps:bodyPr wrap="square" lIns="0" rIns="0" tIns="0" bIns="0">
                        <a:spAutoFit/>
                      </wps:bodyPr>
                    </wps:wsp>
                  </a:graphicData>
                </a:graphic>
              </wp:anchor>
            </w:drawing>
          </mc:Choice>
          <mc:Fallback>
            <w:pict>
              <v:shapetype id="_x005F_x0000_t202" coordsize="21600,21600" o:spt="202" path="m,l,21600l21600,21600l21600,xe">
                <v:stroke joinstyle="miter"/>
                <v:path gradientshapeok="t" o:connecttype="rect"/>
              </v:shapetype>
              <v:shape id="shape_0" ID="Shape2" stroked="f" style="position:absolute;margin-left:264pt;margin-top:66.25pt;width:273.85pt;height:61.55pt" type="shapetype_202">
                <v:textbox>
                  <w:txbxContent>
                    <w:p>
                      <w:pPr>
                        <w:overflowPunct w:val="false"/>
                        <w:spacing w:lineRule="auto" w:line="240"/>
                        <w:rPr/>
                      </w:pPr>
                      <w:r>
                        <w:rPr>
                          <w:sz w:val="18"/>
                          <w:szCs w:val="18"/>
                        </w:rPr>
                        <w:t>Results from the HYSPLIT meteorological model, predicting deposition of particles (rescaled as a proportion of maximum deposition)</w:t>
                      </w:r>
                    </w:p>
                  </w:txbxContent>
                </v:textbox>
                <w10:wrap type="square"/>
                <v:fill o:detectmouseclick="t" on="false"/>
                <v:stroke color="black" joinstyle="round" endcap="flat"/>
              </v:shape>
            </w:pict>
          </mc:Fallback>
        </mc:AlternateContent>
      </w:r>
      <w:r>
        <w:rPr>
          <w:rFonts w:eastAsia="Times New Roman" w:cs="Times New Roman" w:ascii="Times New Roman" w:hAnsi="Times New Roman"/>
          <w:sz w:val="24"/>
          <w:szCs w:val="24"/>
        </w:rPr>
        <w:t>We provided two varieties of leafy greens (kale, lettuce) from the two sites to TestAmerica in Sacramento for analysis for PAHs, CAM17 metals, and dioxins and furans. We then sent another set of samples from the same two high priority sites to Enthalpy Analytics in Berkeley to help validate our first results. With this second lab, we tested for PAHs in chard samples from both sites, and we tested for dioxins using collards from one site</w:t>
      </w:r>
    </w:p>
    <w:p>
      <w:pPr>
        <w:pStyle w:val="LOnormal"/>
        <w:spacing w:lineRule="auto" w:line="24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240"/>
        <w:rPr>
          <w:rFonts w:ascii="Times New Roman" w:hAnsi="Times New Roman" w:eastAsia="Times New Roman" w:cs="Times New Roman"/>
          <w:b/>
          <w:b/>
          <w:color w:val="4BACC6" w:themeColor="accent5"/>
          <w:sz w:val="24"/>
          <w:szCs w:val="24"/>
        </w:rPr>
      </w:pPr>
      <w:r>
        <w:rPr>
          <w:rFonts w:eastAsia="Times New Roman" w:cs="Times New Roman" w:ascii="Times New Roman" w:hAnsi="Times New Roman"/>
          <w:b/>
          <w:color w:val="4BACC6" w:themeColor="accent5"/>
          <w:sz w:val="24"/>
          <w:szCs w:val="24"/>
        </w:rPr>
        <w:t>Based on these preliminary findings, we hypothesized that produce safety was not significantly affected by the fires and that heavy metal deposits may be mitigated by washing produce.</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Preliminary did</w:t>
      </w:r>
      <w:r>
        <w:rPr>
          <w:rFonts w:eastAsia="Times New Roman" w:cs="Times New Roman" w:ascii="Times New Roman" w:hAnsi="Times New Roman"/>
          <w:sz w:val="24"/>
          <w:szCs w:val="24"/>
          <w:u w:val="single"/>
        </w:rPr>
        <w:t xml:space="preserve"> not</w:t>
      </w:r>
      <w:r>
        <w:rPr>
          <w:rFonts w:eastAsia="Times New Roman" w:cs="Times New Roman" w:ascii="Times New Roman" w:hAnsi="Times New Roman"/>
          <w:sz w:val="24"/>
          <w:szCs w:val="24"/>
        </w:rPr>
        <w:t xml:space="preserve"> indicate a high degree of contamination:</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1"/>
        </w:numPr>
        <w:spacing w:lineRule="auto" w:line="240"/>
        <w:rPr>
          <w:rFonts w:ascii="Times New Roman" w:hAnsi="Times New Roman" w:eastAsia="Times New Roman" w:cs="Times New Roman"/>
          <w:sz w:val="24"/>
          <w:szCs w:val="24"/>
        </w:rPr>
      </w:pPr>
      <w:r>
        <w:rPr>
          <w:rFonts w:eastAsia="Times New Roman" w:cs="Times New Roman" w:ascii="Times New Roman" w:hAnsi="Times New Roman"/>
          <w:b/>
          <w:color w:val="4BACC6" w:themeColor="accent5"/>
          <w:sz w:val="24"/>
          <w:szCs w:val="24"/>
        </w:rPr>
        <w:t xml:space="preserve">Polycyclic Aromatic Hydrocarbons </w:t>
      </w:r>
      <w:r>
        <w:rPr>
          <w:rFonts w:eastAsia="Times New Roman" w:cs="Times New Roman" w:ascii="Times New Roman" w:hAnsi="Times New Roman"/>
          <w:b/>
          <w:i/>
          <w:color w:val="4BACC6" w:themeColor="accent5"/>
          <w:sz w:val="24"/>
          <w:szCs w:val="24"/>
        </w:rPr>
        <w:t>= inconclusive;</w:t>
      </w:r>
      <w:r>
        <w:rPr>
          <w:rFonts w:eastAsia="Times New Roman" w:cs="Times New Roman" w:ascii="Times New Roman" w:hAnsi="Times New Roman"/>
          <w:sz w:val="24"/>
          <w:szCs w:val="24"/>
        </w:rPr>
        <w:t xml:space="preserve"> Due to high method reporting limits from our laboratories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1"/>
        </w:numPr>
        <w:spacing w:lineRule="auto" w:line="240"/>
        <w:rPr>
          <w:rFonts w:ascii="Times New Roman" w:hAnsi="Times New Roman" w:eastAsia="Times New Roman" w:cs="Times New Roman"/>
          <w:sz w:val="24"/>
          <w:szCs w:val="24"/>
        </w:rPr>
      </w:pPr>
      <w:r>
        <w:rPr>
          <w:rFonts w:eastAsia="Times New Roman" w:cs="Times New Roman" w:ascii="Times New Roman" w:hAnsi="Times New Roman"/>
          <w:b/>
          <w:color w:val="4BACC6" w:themeColor="accent5"/>
          <w:sz w:val="24"/>
          <w:szCs w:val="24"/>
        </w:rPr>
        <w:t>Heavy metals =</w:t>
      </w:r>
      <w:r>
        <w:rPr>
          <w:rFonts w:eastAsia="Times New Roman" w:cs="Times New Roman" w:ascii="Times New Roman" w:hAnsi="Times New Roman"/>
          <w:color w:val="4BACC6" w:themeColor="accent5"/>
          <w:sz w:val="24"/>
          <w:szCs w:val="24"/>
        </w:rPr>
        <w:t xml:space="preserve"> </w:t>
      </w:r>
      <w:r>
        <w:rPr>
          <w:rFonts w:eastAsia="Times New Roman" w:cs="Times New Roman" w:ascii="Times New Roman" w:hAnsi="Times New Roman"/>
          <w:b/>
          <w:i/>
          <w:color w:val="4BACC6" w:themeColor="accent5"/>
          <w:sz w:val="24"/>
          <w:szCs w:val="24"/>
        </w:rPr>
        <w:t>low concern, except for Nickel</w:t>
      </w:r>
      <w:r>
        <w:rPr>
          <w:rFonts w:eastAsia="Times New Roman" w:cs="Times New Roman" w:ascii="Times New Roman" w:hAnsi="Times New Roman"/>
          <w:color w:val="4BACC6" w:themeColor="accent5"/>
          <w:sz w:val="24"/>
          <w:szCs w:val="24"/>
        </w:rPr>
        <w:t>;</w:t>
      </w:r>
      <w:r>
        <w:rPr>
          <w:rFonts w:eastAsia="Times New Roman" w:cs="Times New Roman" w:ascii="Times New Roman" w:hAnsi="Times New Roman"/>
          <w:sz w:val="24"/>
          <w:szCs w:val="24"/>
        </w:rPr>
        <w:t xml:space="preserve"> No detection of lead, arsenic, or mercury. Nickel was found in 2 of 8 samples at levels exceeding Prop 65’s No Significant Risk Level (NSRL). Nickel contamination appears to be mitigated by washing produce.</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1"/>
        </w:numPr>
        <w:spacing w:lineRule="auto" w:line="240"/>
        <w:rPr>
          <w:rFonts w:ascii="Times New Roman" w:hAnsi="Times New Roman" w:eastAsia="Times New Roman" w:cs="Times New Roman"/>
          <w:sz w:val="24"/>
          <w:szCs w:val="24"/>
        </w:rPr>
      </w:pPr>
      <w:r>
        <w:rPr>
          <w:rFonts w:eastAsia="Times New Roman" w:cs="Times New Roman" w:ascii="Times New Roman" w:hAnsi="Times New Roman"/>
          <w:b/>
          <w:color w:val="4BACC6" w:themeColor="accent5"/>
          <w:sz w:val="24"/>
          <w:szCs w:val="24"/>
        </w:rPr>
        <w:t xml:space="preserve">Dioxins = </w:t>
      </w:r>
      <w:r>
        <w:rPr>
          <w:rFonts w:eastAsia="Times New Roman" w:cs="Times New Roman" w:ascii="Times New Roman" w:hAnsi="Times New Roman"/>
          <w:b/>
          <w:i/>
          <w:color w:val="4BACC6" w:themeColor="accent5"/>
          <w:sz w:val="24"/>
          <w:szCs w:val="24"/>
        </w:rPr>
        <w:t>some concern</w:t>
      </w:r>
      <w:r>
        <w:rPr>
          <w:rFonts w:eastAsia="Times New Roman" w:cs="Times New Roman" w:ascii="Times New Roman" w:hAnsi="Times New Roman"/>
          <w:b/>
          <w:color w:val="4BACC6" w:themeColor="accent5"/>
          <w:sz w:val="24"/>
          <w:szCs w:val="24"/>
        </w:rPr>
        <w:t>;</w:t>
      </w:r>
      <w:r>
        <w:rPr>
          <w:rFonts w:eastAsia="Times New Roman" w:cs="Times New Roman" w:ascii="Times New Roman" w:hAnsi="Times New Roman"/>
          <w:sz w:val="24"/>
          <w:szCs w:val="24"/>
        </w:rPr>
        <w:t xml:space="preserve"> Concentrations found above the background levels from FDA’s Dioxin Monitoring Program, but at levels below NSRL. </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mc:AlternateContent>
          <mc:Choice Requires="wps">
            <w:drawing>
              <wp:anchor behindDoc="0" distT="0" distB="0" distL="0" distR="0" simplePos="0" locked="0" layoutInCell="1" allowOverlap="1" relativeHeight="98">
                <wp:simplePos x="0" y="0"/>
                <wp:positionH relativeFrom="column">
                  <wp:posOffset>3635375</wp:posOffset>
                </wp:positionH>
                <wp:positionV relativeFrom="paragraph">
                  <wp:posOffset>5805170</wp:posOffset>
                </wp:positionV>
                <wp:extent cx="3930015" cy="904240"/>
                <wp:effectExtent l="0" t="0" r="0" b="0"/>
                <wp:wrapSquare wrapText="bothSides"/>
                <wp:docPr id="12" name="Shape1"/>
                <a:graphic xmlns:a="http://schemas.openxmlformats.org/drawingml/2006/main">
                  <a:graphicData uri="http://schemas.microsoft.com/office/word/2010/wordprocessingShape">
                    <wps:wsp>
                      <wps:cNvSpPr txBox="1"/>
                      <wps:spPr>
                        <a:xfrm>
                          <a:off x="0" y="0"/>
                          <a:ext cx="3929400" cy="903600"/>
                        </a:xfrm>
                        <a:prstGeom prst="rect">
                          <a:avLst/>
                        </a:prstGeom>
                        <a:noFill/>
                        <a:ln>
                          <a:noFill/>
                        </a:ln>
                      </wps:spPr>
                      <wps:txbx>
                        <w:txbxContent>
                          <w:p>
                            <w:pPr>
                              <w:overflowPunct w:val="false"/>
                              <w:spacing w:lineRule="auto" w:line="240"/>
                              <w:rPr/>
                            </w:pPr>
                            <w:r>
                              <w:rPr>
                                <w:sz w:val="18"/>
                                <w:szCs w:val="18"/>
                              </w:rPr>
                              <w:t>Results from model based on CARB air quality sensor data. White dots are sampling sites for this study. Red dots are air quality sampling stations included in the model. Colors indicate the cumulative air pollution exposure (rescaled as a proportion of maximum exposure). Highest air quality pollution values were from the Napa and Sonomal sensor locations, east of the map extent.</w:t>
                            </w:r>
                          </w:p>
                        </w:txbxContent>
                      </wps:txbx>
                      <wps:bodyPr wrap="square" lIns="0" rIns="0" tIns="0" bIns="0">
                        <a:spAutoFit/>
                      </wps:bodyPr>
                    </wps:wsp>
                  </a:graphicData>
                </a:graphic>
              </wp:anchor>
            </w:drawing>
          </mc:Choice>
          <mc:Fallback>
            <w:pict>
              <v:shape id="shape_0" ID="Shape1" stroked="f" style="position:absolute;margin-left:286.25pt;margin-top:457.1pt;width:309.35pt;height:71.1pt" type="shapetype_202">
                <v:textbox>
                  <w:txbxContent>
                    <w:p>
                      <w:pPr>
                        <w:overflowPunct w:val="false"/>
                        <w:spacing w:lineRule="auto" w:line="240"/>
                        <w:rPr/>
                      </w:pPr>
                      <w:r>
                        <w:rPr>
                          <w:sz w:val="18"/>
                          <w:szCs w:val="18"/>
                        </w:rPr>
                        <w:t>Results from model based on CARB air quality sensor data. White dots are sampling sites for this study. Red dots are air quality sampling stations included in the model. Colors indicate the cumulative air pollution exposure (rescaled as a proportion of maximum exposure). Highest air quality pollution values were from the Napa and Sonomal sensor locations, east of the map extent.</w:t>
                      </w:r>
                    </w:p>
                  </w:txbxContent>
                </v:textbox>
                <w10:wrap type="square"/>
                <v:fill o:detectmouseclick="t" on="false"/>
                <v:stroke color="black" joinstyle="round" endcap="flat"/>
              </v:shape>
            </w:pict>
          </mc:Fallback>
        </mc:AlternateConten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t>HYPOTHESIS TESTING</w:t>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drawing>
          <wp:anchor behindDoc="0" distT="0" distB="0" distL="0" distR="0" simplePos="0" locked="0" layoutInCell="1" allowOverlap="1" relativeHeight="48">
            <wp:simplePos x="0" y="0"/>
            <wp:positionH relativeFrom="column">
              <wp:posOffset>2660650</wp:posOffset>
            </wp:positionH>
            <wp:positionV relativeFrom="paragraph">
              <wp:posOffset>29845</wp:posOffset>
            </wp:positionV>
            <wp:extent cx="3990340" cy="4569460"/>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4"/>
                    <a:srcRect l="-9084" t="0" r="0" b="0"/>
                    <a:stretch>
                      <a:fillRect/>
                    </a:stretch>
                  </pic:blipFill>
                  <pic:spPr bwMode="auto">
                    <a:xfrm>
                      <a:off x="0" y="0"/>
                      <a:ext cx="3990340" cy="4569460"/>
                    </a:xfrm>
                    <a:prstGeom prst="rect">
                      <a:avLst/>
                    </a:prstGeom>
                  </pic:spPr>
                </pic:pic>
              </a:graphicData>
            </a:graphic>
          </wp:anchor>
        </w:drawing>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t>Site Selection</w:t>
      </w:r>
    </w:p>
    <w:p>
      <w:pPr>
        <w:pStyle w:val="LOnormal"/>
        <w:spacing w:lineRule="auto" w:line="240"/>
        <w:rPr/>
      </w:pPr>
      <w:r>
        <mc:AlternateContent>
          <mc:Choice Requires="wps">
            <w:drawing>
              <wp:anchor behindDoc="0" distT="0" distB="0" distL="114300" distR="114300" simplePos="0" locked="0" layoutInCell="1" allowOverlap="1" relativeHeight="17" wp14:anchorId="07127AD2">
                <wp:simplePos x="0" y="0"/>
                <wp:positionH relativeFrom="column">
                  <wp:posOffset>3086100</wp:posOffset>
                </wp:positionH>
                <wp:positionV relativeFrom="paragraph">
                  <wp:posOffset>614680</wp:posOffset>
                </wp:positionV>
                <wp:extent cx="2172970" cy="801370"/>
                <wp:effectExtent l="0" t="0" r="0" b="12700"/>
                <wp:wrapSquare wrapText="bothSides"/>
                <wp:docPr id="14" name="Text Box 12"/>
                <a:graphic xmlns:a="http://schemas.openxmlformats.org/drawingml/2006/main">
                  <a:graphicData uri="http://schemas.microsoft.com/office/word/2010/wordprocessingShape">
                    <wps:wsp>
                      <wps:cNvSpPr/>
                      <wps:spPr>
                        <a:xfrm>
                          <a:off x="0" y="0"/>
                          <a:ext cx="2172240" cy="800640"/>
                        </a:xfrm>
                        <a:prstGeom prst="rect">
                          <a:avLst/>
                        </a:prstGeom>
                        <a:noFill/>
                        <a:ln>
                          <a:noFill/>
                        </a:ln>
                      </wps:spPr>
                      <wps:style>
                        <a:lnRef idx="0">
                          <a:schemeClr val="accent1"/>
                        </a:lnRef>
                        <a:fillRef idx="0">
                          <a:schemeClr val="accent1"/>
                        </a:fillRef>
                        <a:effectRef idx="0">
                          <a:schemeClr val="accent1"/>
                        </a:effectRef>
                        <a:fontRef idx="minor"/>
                      </wps:style>
                      <wps:bodyPr/>
                    </wps:wsp>
                  </a:graphicData>
                </a:graphic>
              </wp:anchor>
            </w:drawing>
          </mc:Choice>
          <mc:Fallback>
            <w:pict>
              <v:rect id="shape_0" ID="Text Box 12" stroked="f" style="position:absolute;margin-left:243pt;margin-top:48.4pt;width:171pt;height:63pt" wp14:anchorId="07127AD2">
                <w10:wrap type="none"/>
                <v:fill o:detectmouseclick="t" on="false"/>
                <v:stroke color="#3465a4" joinstyle="round" endcap="flat"/>
              </v:rect>
            </w:pict>
          </mc:Fallback>
        </mc:AlternateContent>
      </w:r>
      <w:r>
        <w:rPr>
          <w:rFonts w:eastAsia="Times New Roman" w:cs="Times New Roman" w:ascii="Times New Roman" w:hAnsi="Times New Roman"/>
          <w:sz w:val="24"/>
          <w:szCs w:val="24"/>
        </w:rPr>
        <w:t xml:space="preserve">We selected three sites for additional testing based on three variables: distance from urban burn area, ranking on meteorological deposition model used in preliminary analysis, and ranking on particulate matter levels during fire. For this third variable, we analyzed Sonoma County air quality sensor data collected during October 2017, provided by California Air Resource Board (CARB). </w:t>
      </w:r>
      <w:r>
        <w:rPr>
          <w:rFonts w:eastAsia="Times New Roman" w:cs="Times New Roman" w:ascii="Times New Roman" w:hAnsi="Times New Roman"/>
          <w:sz w:val="24"/>
          <w:szCs w:val="24"/>
        </w:rPr>
        <w:t xml:space="preserve">Initially, sites’ exposure according to </w:t>
      </w:r>
      <w:r>
        <w:rPr>
          <w:rFonts w:eastAsia="Times New Roman" w:cs="Times New Roman" w:ascii="Times New Roman" w:hAnsi="Times New Roman"/>
          <w:sz w:val="24"/>
          <w:szCs w:val="24"/>
        </w:rPr>
        <w:t xml:space="preserve">air-quality </w:t>
      </w:r>
      <w:r>
        <w:rPr>
          <w:rFonts w:eastAsia="Times New Roman" w:cs="Times New Roman" w:ascii="Times New Roman" w:hAnsi="Times New Roman"/>
          <w:sz w:val="24"/>
          <w:szCs w:val="24"/>
        </w:rPr>
        <w:t>models were independent to the exposure predicted by the deposition model, causing concern about model accuracy.</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Analyses conducted after the fact found that some air quality sensors had anomalously low values. Excluding these sensors led to results (pictured here) more correlated to those of the deposition model.</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t>Samples, Tests, and Labs</w:t>
      </w:r>
    </w:p>
    <w:p>
      <w:pPr>
        <w:pStyle w:val="LOnormal"/>
        <w:spacing w:lineRule="auto" w:line="240"/>
        <w:rPr/>
      </w:pPr>
      <w:r>
        <w:rPr>
          <w:rFonts w:eastAsia="Times New Roman" w:cs="Times New Roman" w:ascii="Times New Roman" w:hAnsi="Times New Roman"/>
          <w:sz w:val="24"/>
          <w:szCs w:val="24"/>
        </w:rPr>
        <w:t xml:space="preserve">For </w:t>
      </w:r>
      <w:r>
        <w:rPr>
          <w:rFonts w:eastAsia="Times New Roman" w:cs="Times New Roman" w:ascii="Times New Roman" w:hAnsi="Times New Roman"/>
          <w:sz w:val="24"/>
          <w:szCs w:val="24"/>
        </w:rPr>
        <w:t>these three</w:t>
      </w:r>
      <w:r>
        <w:rPr>
          <w:rFonts w:eastAsia="Times New Roman" w:cs="Times New Roman" w:ascii="Times New Roman" w:hAnsi="Times New Roman"/>
          <w:sz w:val="24"/>
          <w:szCs w:val="24"/>
        </w:rPr>
        <w:t xml:space="preserve"> sites, we sent kale samples to Enthalpy Analytical for testing in Polycyclic Aromatic Hydrocarbons, Polychlorinated Biphenyls, Dioxins and Furans, and Heavy Metals. </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pPr>
      <w:r>
        <w:rPr>
          <w:rFonts w:eastAsia="Times New Roman" w:cs="Times New Roman" w:ascii="Times New Roman" w:hAnsi="Times New Roman"/>
          <w:sz w:val="24"/>
          <w:szCs w:val="24"/>
        </w:rPr>
        <w:t>We selected an additional, fourth, site in order to follow-up testing for PAHs. This site was selected as a high ranking site for multiple of the above site selection variables. We also selected it due to the larger sample mass available, as this was intended to increase the chances of a lower detection level (higher resolution of analysis).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tbl>
      <w:tblPr>
        <w:tblStyle w:val="TableGrid"/>
        <w:tblW w:w="9577" w:type="dxa"/>
        <w:jc w:val="left"/>
        <w:tblInd w:w="0" w:type="dxa"/>
        <w:tblCellMar>
          <w:top w:w="0" w:type="dxa"/>
          <w:left w:w="108" w:type="dxa"/>
          <w:bottom w:w="0" w:type="dxa"/>
          <w:right w:w="108" w:type="dxa"/>
        </w:tblCellMar>
        <w:tblLook w:noVBand="1" w:val="04a0" w:noHBand="0" w:lastColumn="0" w:firstColumn="1" w:lastRow="0" w:firstRow="1"/>
      </w:tblPr>
      <w:tblGrid>
        <w:gridCol w:w="2394"/>
        <w:gridCol w:w="2394"/>
        <w:gridCol w:w="2394"/>
        <w:gridCol w:w="2394"/>
      </w:tblGrid>
      <w:tr>
        <w:trPr>
          <w:trHeight w:val="368" w:hRule="atLeast"/>
        </w:trPr>
        <w:tc>
          <w:tcPr>
            <w:tcW w:w="2394" w:type="dxa"/>
            <w:tcBorders/>
            <w:shd w:fill="auto" w:val="clear"/>
          </w:tcPr>
          <w:p>
            <w:pPr>
              <w:pStyle w:val="LO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Santa Rosa Site</w:t>
            </w:r>
          </w:p>
        </w:tc>
        <w:tc>
          <w:tcPr>
            <w:tcW w:w="2394" w:type="dxa"/>
            <w:tcBorders/>
            <w:shd w:fill="auto" w:val="clear"/>
          </w:tcPr>
          <w:p>
            <w:pPr>
              <w:pStyle w:val="LO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Santa Rosa Site</w:t>
            </w:r>
          </w:p>
        </w:tc>
        <w:tc>
          <w:tcPr>
            <w:tcW w:w="2394" w:type="dxa"/>
            <w:tcBorders/>
            <w:shd w:fill="auto" w:val="clear"/>
          </w:tcPr>
          <w:p>
            <w:pPr>
              <w:pStyle w:val="LO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Rohnert Park Site</w:t>
            </w:r>
          </w:p>
        </w:tc>
        <w:tc>
          <w:tcPr>
            <w:tcW w:w="2394" w:type="dxa"/>
            <w:tcBorders/>
            <w:shd w:fill="auto" w:val="clear"/>
          </w:tcPr>
          <w:p>
            <w:pPr>
              <w:pStyle w:val="LO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Petaluma Site</w:t>
            </w:r>
          </w:p>
        </w:tc>
      </w:tr>
      <w:tr>
        <w:trPr>
          <w:trHeight w:val="1331" w:hRule="atLeast"/>
        </w:trPr>
        <w:tc>
          <w:tcPr>
            <w:tcW w:w="2394" w:type="dxa"/>
            <w:tcBorders/>
            <w:shd w:fill="auto" w:val="clear"/>
          </w:tcPr>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PAHs</w:t>
            </w:r>
          </w:p>
        </w:tc>
        <w:tc>
          <w:tcPr>
            <w:tcW w:w="2394" w:type="dxa"/>
            <w:tcBorders/>
            <w:shd w:fill="auto" w:val="clear"/>
          </w:tcPr>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PAHs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PCBs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Dioxins &amp; Furans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Heavy Metals</w:t>
            </w:r>
          </w:p>
        </w:tc>
        <w:tc>
          <w:tcPr>
            <w:tcW w:w="2394" w:type="dxa"/>
            <w:tcBorders/>
            <w:shd w:fill="auto" w:val="clear"/>
          </w:tcPr>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PAHs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PCBs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Dioxins &amp; Furans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Heavy Metals</w:t>
            </w:r>
          </w:p>
        </w:tc>
        <w:tc>
          <w:tcPr>
            <w:tcW w:w="2394" w:type="dxa"/>
            <w:tcBorders/>
            <w:shd w:fill="auto" w:val="clear"/>
          </w:tcPr>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PAHs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PCBs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Dioxins &amp; Furans</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Heavy Metals</w:t>
            </w:r>
          </w:p>
        </w:tc>
      </w:tr>
    </w:tbl>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p>
    <w:p>
      <w:pPr>
        <w:pStyle w:val="Normal"/>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r>
      <w:r>
        <w:br w:type="page"/>
      </w:r>
    </w:p>
    <w:tbl>
      <w:tblPr>
        <w:tblW w:w="20607" w:type="dxa"/>
        <w:jc w:val="left"/>
        <w:tblInd w:w="109" w:type="dxa"/>
        <w:tblCellMar>
          <w:top w:w="0" w:type="dxa"/>
          <w:left w:w="108" w:type="dxa"/>
          <w:bottom w:w="0" w:type="dxa"/>
          <w:right w:w="108" w:type="dxa"/>
        </w:tblCellMar>
        <w:tblLook w:noVBand="1" w:val="04a0" w:noHBand="0" w:lastColumn="0" w:firstColumn="1" w:lastRow="0" w:firstRow="1"/>
      </w:tblPr>
      <w:tblGrid>
        <w:gridCol w:w="9359"/>
        <w:gridCol w:w="5642"/>
        <w:gridCol w:w="1680"/>
        <w:gridCol w:w="1294"/>
        <w:gridCol w:w="1317"/>
        <w:gridCol w:w="1314"/>
      </w:tblGrid>
      <w:tr>
        <w:trPr>
          <w:trHeight w:val="400" w:hRule="atLeast"/>
        </w:trPr>
        <w:tc>
          <w:tcPr>
            <w:tcW w:w="9359" w:type="dxa"/>
            <w:tcBorders/>
            <w:shd w:color="auto" w:fill="auto" w:val="clear"/>
            <w:vAlign w:val="bottom"/>
          </w:tcPr>
          <w:p>
            <w:pPr>
              <w:pStyle w:val="LOnormal"/>
              <w:pageBreakBefore/>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t>RESULTS: PLANT TISSUE</w: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mc:AlternateContent>
                <mc:Choice Requires="wps">
                  <w:drawing>
                    <wp:anchor behindDoc="0" distT="0" distB="0" distL="114300" distR="114300" simplePos="0" locked="0" layoutInCell="1" allowOverlap="1" relativeHeight="4" wp14:anchorId="4D83A3B1">
                      <wp:simplePos x="0" y="0"/>
                      <wp:positionH relativeFrom="column">
                        <wp:posOffset>-68580</wp:posOffset>
                      </wp:positionH>
                      <wp:positionV relativeFrom="paragraph">
                        <wp:posOffset>370840</wp:posOffset>
                      </wp:positionV>
                      <wp:extent cx="5601970" cy="919480"/>
                      <wp:effectExtent l="0" t="0" r="38100" b="21590"/>
                      <wp:wrapSquare wrapText="bothSides"/>
                      <wp:docPr id="15" name="Text Box 6"/>
                      <a:graphic xmlns:a="http://schemas.openxmlformats.org/drawingml/2006/main">
                        <a:graphicData uri="http://schemas.microsoft.com/office/word/2010/wordprocessingShape">
                          <wps:wsp>
                            <wps:cNvSpPr/>
                            <wps:spPr>
                              <a:xfrm>
                                <a:off x="0" y="0"/>
                                <a:ext cx="5601240" cy="918720"/>
                              </a:xfrm>
                              <a:prstGeom prst="rect">
                                <a:avLst/>
                              </a:prstGeom>
                              <a:solidFill>
                                <a:schemeClr val="accent1">
                                  <a:lumMod val="20000"/>
                                  <a:lumOff val="80000"/>
                                </a:schemeClr>
                              </a:solidFill>
                              <a:ln>
                                <a:noFill/>
                              </a:ln>
                            </wps:spPr>
                            <wps:style>
                              <a:lnRef idx="0">
                                <a:schemeClr val="accent1"/>
                              </a:lnRef>
                              <a:fillRef idx="0">
                                <a:schemeClr val="accent1"/>
                              </a:fillRef>
                              <a:effectRef idx="0">
                                <a:schemeClr val="accent1"/>
                              </a:effectRef>
                              <a:fontRef idx="minor"/>
                            </wps:style>
                            <wps:txbx>
                              <w:txbxContent>
                                <w:p>
                                  <w:pPr>
                                    <w:pStyle w:val="FrameContents"/>
                                    <w:tabs>
                                      <w:tab w:val="clear" w:pos="720"/>
                                      <w:tab w:val="left" w:pos="0" w:leader="none"/>
                                    </w:tabs>
                                    <w:rPr>
                                      <w:rFonts w:ascii="Times New Roman" w:hAnsi="Times New Roman" w:cs="Times New Roman"/>
                                      <w:sz w:val="24"/>
                                      <w:szCs w:val="24"/>
                                    </w:rPr>
                                  </w:pPr>
                                  <w:r>
                                    <w:rPr>
                                      <w:rFonts w:cs="Times New Roman" w:ascii="Times New Roman" w:hAnsi="Times New Roman"/>
                                      <w:color w:val="000000"/>
                                      <w:sz w:val="24"/>
                                      <w:szCs w:val="24"/>
                                      <w:u w:val="single"/>
                                    </w:rPr>
                                    <w:t>Interpretation</w:t>
                                  </w:r>
                                  <w:r>
                                    <w:rPr>
                                      <w:rFonts w:cs="Times New Roman" w:ascii="Times New Roman" w:hAnsi="Times New Roman"/>
                                      <w:color w:val="000000"/>
                                      <w:sz w:val="24"/>
                                      <w:szCs w:val="24"/>
                                    </w:rPr>
                                    <w:t xml:space="preserve">: There were no PCBs detected in the plant samples from any site. However, due to the high reporting limit from standard laboratory methods, we are not able to confirm whether or not your site has PCBs at levels below our reporting limit that still exceed the Proposition 65 NSRL. </w:t>
                                  </w:r>
                                </w:p>
                                <w:p>
                                  <w:pPr>
                                    <w:pStyle w:val="FrameContents"/>
                                    <w:rPr/>
                                  </w:pPr>
                                  <w:r>
                                    <w:rPr/>
                                  </w:r>
                                </w:p>
                              </w:txbxContent>
                            </wps:txbx>
                            <wps:bodyPr>
                              <a:prstTxWarp prst="textNoShape"/>
                              <a:noAutofit/>
                            </wps:bodyPr>
                          </wps:wsp>
                        </a:graphicData>
                      </a:graphic>
                    </wp:anchor>
                  </w:drawing>
                </mc:Choice>
                <mc:Fallback>
                  <w:pict>
                    <v:rect id="shape_0" ID="Text Box 6" fillcolor="#dce6f2" stroked="f" style="position:absolute;margin-left:-5.4pt;margin-top:29.2pt;width:441pt;height:72.3pt" wp14:anchorId="4D83A3B1">
                      <w10:wrap type="square"/>
                      <v:fill o:detectmouseclick="t" type="solid" color2="#23190d"/>
                      <v:stroke color="#3465a4" joinstyle="round" endcap="flat"/>
                      <v:textbox>
                        <w:txbxContent>
                          <w:p>
                            <w:pPr>
                              <w:pStyle w:val="FrameContents"/>
                              <w:tabs>
                                <w:tab w:val="clear" w:pos="720"/>
                                <w:tab w:val="left" w:pos="0" w:leader="none"/>
                              </w:tabs>
                              <w:rPr>
                                <w:rFonts w:ascii="Times New Roman" w:hAnsi="Times New Roman" w:cs="Times New Roman"/>
                                <w:sz w:val="24"/>
                                <w:szCs w:val="24"/>
                              </w:rPr>
                            </w:pPr>
                            <w:r>
                              <w:rPr>
                                <w:rFonts w:cs="Times New Roman" w:ascii="Times New Roman" w:hAnsi="Times New Roman"/>
                                <w:color w:val="000000"/>
                                <w:sz w:val="24"/>
                                <w:szCs w:val="24"/>
                                <w:u w:val="single"/>
                              </w:rPr>
                              <w:t>Interpretation</w:t>
                            </w:r>
                            <w:r>
                              <w:rPr>
                                <w:rFonts w:cs="Times New Roman" w:ascii="Times New Roman" w:hAnsi="Times New Roman"/>
                                <w:color w:val="000000"/>
                                <w:sz w:val="24"/>
                                <w:szCs w:val="24"/>
                              </w:rPr>
                              <w:t xml:space="preserve">: There were no PCBs detected in the plant samples from any site. However, due to the high reporting limit from standard laboratory methods, we are not able to confirm whether or not your site has PCBs at levels below our reporting limit that still exceed the Proposition 65 NSRL. </w:t>
                            </w:r>
                          </w:p>
                          <w:p>
                            <w:pPr>
                              <w:pStyle w:val="FrameContents"/>
                              <w:rPr/>
                            </w:pPr>
                            <w:r>
                              <w:rPr/>
                            </w:r>
                          </w:p>
                        </w:txbxContent>
                      </v:textbox>
                    </v:rect>
                  </w:pict>
                </mc:Fallback>
              </mc:AlternateContent>
            </w:r>
            <w:r>
              <w:rPr>
                <w:rFonts w:eastAsia="Times New Roman" w:cs="Times New Roman" w:ascii="Avenir Medium" w:hAnsi="Avenir Medium"/>
                <w:b/>
                <w:bCs/>
                <w:color w:val="000000"/>
              </w:rPr>
              <w:t xml:space="preserve">Polychlorinated Biphenyls (PCBs) Summary – Plant Tissue </w: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Calibri" w:hAnsi="Calibri" w:eastAsia="Times New Roman" w:cs="Times New Roman"/>
                <w:b/>
                <w:b/>
                <w:bCs/>
                <w:color w:val="000000"/>
              </w:rPr>
            </w:pPr>
            <w:r>
              <w:rPr>
                <w:rFonts w:eastAsia="Times New Roman" w:cs="Times New Roman" w:ascii="Calibri" w:hAnsi="Calibri"/>
                <w:b/>
                <w:bCs/>
                <w:color w:val="000000"/>
              </w:rPr>
            </w:r>
          </w:p>
          <w:p>
            <w:pPr>
              <w:pStyle w:val="Normal"/>
              <w:tabs>
                <w:tab w:val="clear" w:pos="720"/>
                <w:tab w:val="left" w:pos="0" w:leader="none"/>
              </w:tabs>
              <w:ind w:right="580"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 xml:space="preserve">Table 1 shows how Proposition 65’s “No Significant Risk Level” (NSRL) compares to the “reporting limit” (RL) from our lab, which is the lowest level that our tests are able to detect. E.g. Concentrations above 0.09 ug/day but below 0.11 ug/day would exceed Prop 65 NSRL levels, but would not be detected by our test. </w:t>
            </w:r>
          </w:p>
          <w:p>
            <w:pPr>
              <w:pStyle w:val="Normal"/>
              <w:tabs>
                <w:tab w:val="clear" w:pos="720"/>
                <w:tab w:val="left" w:pos="0" w:leader="none"/>
              </w:tabs>
              <w:ind w:right="580"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mc:AlternateContent>
                <mc:Choice Requires="wps">
                  <w:drawing>
                    <wp:anchor behindDoc="0" distT="0" distB="0" distL="114300" distR="114300" simplePos="0" locked="0" layoutInCell="1" allowOverlap="1" relativeHeight="14" wp14:anchorId="06795CB1">
                      <wp:simplePos x="0" y="0"/>
                      <wp:positionH relativeFrom="column">
                        <wp:posOffset>4615815</wp:posOffset>
                      </wp:positionH>
                      <wp:positionV relativeFrom="paragraph">
                        <wp:posOffset>60325</wp:posOffset>
                      </wp:positionV>
                      <wp:extent cx="2172970" cy="2172970"/>
                      <wp:effectExtent l="0" t="0" r="38100" b="38100"/>
                      <wp:wrapSquare wrapText="bothSides"/>
                      <wp:docPr id="17" name="Text Box 10"/>
                      <a:graphic xmlns:a="http://schemas.openxmlformats.org/drawingml/2006/main">
                        <a:graphicData uri="http://schemas.microsoft.com/office/word/2010/wordprocessingShape">
                          <wps:wsp>
                            <wps:cNvSpPr/>
                            <wps:spPr>
                              <a:xfrm>
                                <a:off x="0" y="0"/>
                                <a:ext cx="2172240" cy="2172240"/>
                              </a:xfrm>
                              <a:prstGeom prst="rect">
                                <a:avLst/>
                              </a:prstGeom>
                              <a:noFill/>
                              <a:ln w="12600">
                                <a:solidFill>
                                  <a:schemeClr val="tx2"/>
                                </a:solidFill>
                                <a:round/>
                              </a:ln>
                            </wps:spPr>
                            <wps:style>
                              <a:lnRef idx="0">
                                <a:schemeClr val="accent1"/>
                              </a:lnRef>
                              <a:fillRef idx="0">
                                <a:schemeClr val="accent1"/>
                              </a:fillRef>
                              <a:effectRef idx="0">
                                <a:schemeClr val="accent1"/>
                              </a:effectRef>
                              <a:fontRef idx="minor"/>
                            </wps:style>
                            <wps:txbx>
                              <w:txbxContent>
                                <w:p>
                                  <w:pPr>
                                    <w:pStyle w:val="FrameContents"/>
                                    <w:rPr/>
                                  </w:pPr>
                                  <w:r>
                                    <w:rPr>
                                      <w:rFonts w:eastAsia="Times New Roman" w:cs="Times New Roman" w:ascii="Times New Roman" w:hAnsi="Times New Roman"/>
                                      <w:b/>
                                      <w:color w:val="1F497D" w:themeColor="text2"/>
                                      <w:sz w:val="24"/>
                                      <w:szCs w:val="24"/>
                                    </w:rPr>
                                    <w:t>“</w:t>
                                  </w:r>
                                  <w:r>
                                    <w:rPr>
                                      <w:rFonts w:eastAsia="Times New Roman" w:cs="Times New Roman" w:ascii="Times New Roman" w:hAnsi="Times New Roman"/>
                                      <w:b/>
                                      <w:color w:val="1F497D" w:themeColor="text2"/>
                                      <w:sz w:val="24"/>
                                      <w:szCs w:val="24"/>
                                    </w:rPr>
                                    <w:t xml:space="preserve">Reporting Limit” </w:t>
                                  </w:r>
                                  <w:r>
                                    <w:rPr>
                                      <w:rFonts w:eastAsia="Times New Roman" w:cs="Times New Roman" w:ascii="Times New Roman" w:hAnsi="Times New Roman"/>
                                      <w:i/>
                                      <w:color w:val="215868" w:themeColor="accent5" w:themeShade="80"/>
                                      <w:sz w:val="24"/>
                                      <w:szCs w:val="24"/>
                                    </w:rPr>
                                    <w:t xml:space="preserve"> </w:t>
                                    <w:br/>
                                    <w:t xml:space="preserve">A method reporting limit (MRL) is the lowest concentration of a chemical that a lab test would be able to detect in a sample. This is also sometimes refered to as the Detection Limit (DL), Limit of Detection (LOD), or Estimated Detection Limit (EDL) depending on the test. </w:t>
                                  </w:r>
                                </w:p>
                              </w:txbxContent>
                            </wps:txbx>
                            <wps:bodyPr>
                              <a:prstTxWarp prst="textNoShape"/>
                              <a:noAutofit/>
                            </wps:bodyPr>
                          </wps:wsp>
                        </a:graphicData>
                      </a:graphic>
                    </wp:anchor>
                  </w:drawing>
                </mc:Choice>
                <mc:Fallback>
                  <w:pict>
                    <v:rect id="shape_0" ID="Text Box 10" stroked="t" style="position:absolute;margin-left:363.45pt;margin-top:4.75pt;width:171pt;height:171pt" wp14:anchorId="06795CB1">
                      <w10:wrap type="square"/>
                      <v:fill o:detectmouseclick="t" on="false"/>
                      <v:stroke color="#1f497d" weight="12600" joinstyle="round" endcap="flat"/>
                      <v:textbox>
                        <w:txbxContent>
                          <w:p>
                            <w:pPr>
                              <w:pStyle w:val="FrameContents"/>
                              <w:rPr/>
                            </w:pPr>
                            <w:r>
                              <w:rPr>
                                <w:rFonts w:eastAsia="Times New Roman" w:cs="Times New Roman" w:ascii="Times New Roman" w:hAnsi="Times New Roman"/>
                                <w:b/>
                                <w:color w:val="1F497D" w:themeColor="text2"/>
                                <w:sz w:val="24"/>
                                <w:szCs w:val="24"/>
                              </w:rPr>
                              <w:t>“</w:t>
                            </w:r>
                            <w:r>
                              <w:rPr>
                                <w:rFonts w:eastAsia="Times New Roman" w:cs="Times New Roman" w:ascii="Times New Roman" w:hAnsi="Times New Roman"/>
                                <w:b/>
                                <w:color w:val="1F497D" w:themeColor="text2"/>
                                <w:sz w:val="24"/>
                                <w:szCs w:val="24"/>
                              </w:rPr>
                              <w:t xml:space="preserve">Reporting Limit” </w:t>
                            </w:r>
                            <w:r>
                              <w:rPr>
                                <w:rFonts w:eastAsia="Times New Roman" w:cs="Times New Roman" w:ascii="Times New Roman" w:hAnsi="Times New Roman"/>
                                <w:i/>
                                <w:color w:val="215868" w:themeColor="accent5" w:themeShade="80"/>
                                <w:sz w:val="24"/>
                                <w:szCs w:val="24"/>
                              </w:rPr>
                              <w:t xml:space="preserve"> </w:t>
                              <w:br/>
                              <w:t xml:space="preserve">A method reporting limit (MRL) is the lowest concentration of a chemical that a lab test would be able to detect in a sample. This is also sometimes refered to as the Detection Limit (DL), Limit of Detection (LOD), or Estimated Detection Limit (EDL) depending on the test. </w:t>
                            </w:r>
                          </w:p>
                        </w:txbxContent>
                      </v:textbox>
                    </v:rect>
                  </w:pict>
                </mc:Fallback>
              </mc:AlternateContent>
            </w:r>
          </w:p>
          <w:p>
            <w:pPr>
              <w:pStyle w:val="Normal"/>
              <w:tabs>
                <w:tab w:val="clear" w:pos="720"/>
                <w:tab w:val="left" w:pos="0" w:leader="none"/>
              </w:tabs>
              <w:ind w:right="580"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A value is given for the lowest PCB reporting limit (min RL) and for the highest PCB reporting limit (max RL).</w:t>
            </w:r>
          </w:p>
          <w:p>
            <w:pPr>
              <w:pStyle w:val="Normal"/>
              <w:tabs>
                <w:tab w:val="clear" w:pos="720"/>
                <w:tab w:val="left" w:pos="0" w:leader="none"/>
              </w:tabs>
              <w:ind w:right="580"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r>
          </w:p>
          <w:p>
            <w:pPr>
              <w:pStyle w:val="Normal"/>
              <w:tabs>
                <w:tab w:val="clear" w:pos="720"/>
                <w:tab w:val="left" w:pos="0" w:leader="none"/>
              </w:tabs>
              <w:ind w:right="580" w:hanging="0"/>
              <w:rPr>
                <w:rFonts w:ascii="Times New Roman" w:hAnsi="Times New Roman" w:cs="Times New Roman"/>
                <w:sz w:val="24"/>
                <w:szCs w:val="24"/>
              </w:rPr>
            </w:pPr>
            <w:r>
              <w:rPr>
                <w:rFonts w:cs="Times New Roman" w:ascii="Times New Roman" w:hAnsi="Times New Roman"/>
                <w:sz w:val="24"/>
                <w:szCs w:val="24"/>
                <w:u w:val="single"/>
              </w:rPr>
              <w:t>Key</w:t>
            </w:r>
            <w:r>
              <w:rPr>
                <w:rFonts w:cs="Times New Roman" w:ascii="Times New Roman" w:hAnsi="Times New Roman"/>
                <w:sz w:val="24"/>
                <w:szCs w:val="24"/>
              </w:rPr>
              <w:t>: ND= “Non-Detect”; RL= “Reporting Limit”</w:t>
            </w:r>
          </w:p>
          <w:p>
            <w:pPr>
              <w:pStyle w:val="Normal"/>
              <w:tabs>
                <w:tab w:val="clear" w:pos="720"/>
                <w:tab w:val="left" w:pos="0" w:leader="none"/>
              </w:tabs>
              <w:ind w:right="580" w:hanging="0"/>
              <w:rPr>
                <w:rFonts w:ascii="Calibri" w:hAnsi="Calibri"/>
              </w:rPr>
            </w:pPr>
            <w:r>
              <w:rPr>
                <w:rFonts w:ascii="Calibri" w:hAnsi="Calibri"/>
              </w:rPr>
            </w:r>
          </w:p>
          <w:p>
            <w:pPr>
              <w:pStyle w:val="Normal"/>
              <w:tabs>
                <w:tab w:val="clear" w:pos="720"/>
                <w:tab w:val="left" w:pos="0" w:leader="none"/>
              </w:tabs>
              <w:ind w:right="580" w:hanging="0"/>
              <w:rPr>
                <w:rFonts w:ascii="Calibri" w:hAnsi="Calibri"/>
              </w:rPr>
            </w:pPr>
            <w:r>
              <w:rPr>
                <w:rFonts w:ascii="Calibri" w:hAnsi="Calibri"/>
              </w:rPr>
            </w:r>
          </w:p>
          <w:p>
            <w:pPr>
              <w:pStyle w:val="Normal"/>
              <w:tabs>
                <w:tab w:val="clear" w:pos="720"/>
                <w:tab w:val="left" w:pos="0" w:leader="none"/>
              </w:tabs>
              <w:ind w:right="580" w:hanging="0"/>
              <w:rPr>
                <w:rFonts w:ascii="Calibri" w:hAnsi="Calibri"/>
              </w:rPr>
            </w:pPr>
            <w:r>
              <w:rPr>
                <w:rFonts w:ascii="Calibri" w:hAnsi="Calibri"/>
              </w:rPr>
            </w:r>
          </w:p>
          <w:p>
            <w:pPr>
              <w:pStyle w:val="Normal"/>
              <w:tabs>
                <w:tab w:val="clear" w:pos="720"/>
                <w:tab w:val="left" w:pos="0" w:leader="none"/>
              </w:tabs>
              <w:ind w:right="580" w:hanging="0"/>
              <w:rPr>
                <w:rFonts w:ascii="Calibri" w:hAnsi="Calibri"/>
              </w:rPr>
            </w:pPr>
            <w:r>
              <w:rPr>
                <w:rFonts w:ascii="Calibri" w:hAnsi="Calibri"/>
              </w:rPr>
            </w:r>
          </w:p>
          <w:p>
            <w:pPr>
              <w:pStyle w:val="Normal"/>
              <w:tabs>
                <w:tab w:val="clear" w:pos="720"/>
                <w:tab w:val="left" w:pos="0" w:leader="none"/>
              </w:tabs>
              <w:ind w:right="580" w:hanging="0"/>
              <w:rPr>
                <w:rFonts w:ascii="Calibri" w:hAnsi="Calibri"/>
              </w:rPr>
            </w:pPr>
            <w:r>
              <w:rPr>
                <w:rFonts w:ascii="Calibri" w:hAnsi="Calibri"/>
              </w:rPr>
            </w:r>
          </w:p>
          <w:p>
            <w:pPr>
              <w:pStyle w:val="Normal"/>
              <w:tabs>
                <w:tab w:val="clear" w:pos="720"/>
                <w:tab w:val="left" w:pos="0" w:leader="none"/>
              </w:tabs>
              <w:ind w:right="580" w:hanging="0"/>
              <w:rPr>
                <w:rFonts w:ascii="Calibri" w:hAnsi="Calibri"/>
              </w:rPr>
            </w:pPr>
            <w:r>
              <w:rPr>
                <w:rFonts w:ascii="Calibri" w:hAnsi="Calibri"/>
              </w:rPr>
            </w:r>
          </w:p>
          <w:p>
            <w:pPr>
              <w:pStyle w:val="Normal"/>
              <w:tabs>
                <w:tab w:val="clear" w:pos="720"/>
                <w:tab w:val="left" w:pos="0" w:leader="none"/>
              </w:tabs>
              <w:ind w:right="580" w:hanging="0"/>
              <w:rPr>
                <w:rFonts w:ascii="Calibri" w:hAnsi="Calibri"/>
              </w:rPr>
            </w:pPr>
            <w:r>
              <w:rPr>
                <w:rFonts w:ascii="Calibri" w:hAnsi="Calibri"/>
              </w:rPr>
            </w:r>
          </w:p>
          <w:p>
            <w:pPr>
              <w:pStyle w:val="Normal"/>
              <w:tabs>
                <w:tab w:val="clear" w:pos="720"/>
                <w:tab w:val="left" w:pos="0" w:leader="none"/>
              </w:tabs>
              <w:ind w:right="580" w:hanging="0"/>
              <w:rPr>
                <w:rFonts w:ascii="Calibri" w:hAnsi="Calibri"/>
              </w:rPr>
            </w:pPr>
            <w:r>
              <w:rPr>
                <w:rFonts w:ascii="Calibri" w:hAnsi="Calibri"/>
              </w:rPr>
            </w:r>
          </w:p>
          <w:tbl>
            <w:tblPr>
              <w:tblW w:w="8712" w:type="dxa"/>
              <w:jc w:val="left"/>
              <w:tblInd w:w="0" w:type="dxa"/>
              <w:tblCellMar>
                <w:top w:w="0" w:type="dxa"/>
                <w:left w:w="108" w:type="dxa"/>
                <w:bottom w:w="0" w:type="dxa"/>
                <w:right w:w="108" w:type="dxa"/>
              </w:tblCellMar>
              <w:tblLook w:noVBand="1" w:val="04a0" w:noHBand="0" w:lastColumn="0" w:firstColumn="1" w:lastRow="0" w:firstRow="1"/>
            </w:tblPr>
            <w:tblGrid>
              <w:gridCol w:w="2772"/>
              <w:gridCol w:w="1348"/>
              <w:gridCol w:w="1530"/>
              <w:gridCol w:w="1530"/>
              <w:gridCol w:w="1532"/>
            </w:tblGrid>
            <w:tr>
              <w:trPr>
                <w:trHeight w:val="400" w:hRule="atLeast"/>
              </w:trPr>
              <w:tc>
                <w:tcPr>
                  <w:tcW w:w="8712" w:type="dxa"/>
                  <w:gridSpan w:val="5"/>
                  <w:tcBorders>
                    <w:bottom w:val="single" w:sz="4" w:space="0" w:color="000000"/>
                  </w:tcBorders>
                  <w:shd w:color="auto" w:fill="auto" w:val="clear"/>
                  <w:vAlign w:val="bottom"/>
                </w:tcPr>
                <w:p>
                  <w:pPr>
                    <w:pStyle w:val="Normal"/>
                    <w:rPr>
                      <w:rFonts w:ascii="Times New Roman" w:hAnsi="Times New Roman" w:eastAsia="Times New Roman" w:cs="Times New Roman"/>
                      <w:b/>
                      <w:b/>
                      <w:bCs/>
                      <w:color w:val="000000"/>
                    </w:rPr>
                  </w:pPr>
                  <w:r>
                    <w:rPr>
                      <w:rFonts w:eastAsia="Times New Roman" w:cs="Times New Roman" w:ascii="Times New Roman" w:hAnsi="Times New Roman"/>
                      <w:b/>
                      <w:bCs/>
                      <w:color w:val="000000"/>
                    </w:rPr>
                    <w:t>Table 1: Proposition 65 Comparisons for PCBs (ug/day)</w:t>
                  </w:r>
                </w:p>
                <w:p>
                  <w:pPr>
                    <w:pStyle w:val="Normal"/>
                    <w:rPr>
                      <w:rFonts w:ascii="Times New Roman" w:hAnsi="Times New Roman" w:eastAsia="Times New Roman" w:cs="Times New Roman"/>
                    </w:rPr>
                  </w:pPr>
                  <w:r>
                    <w:rPr>
                      <w:rFonts w:eastAsia="Times New Roman" w:cs="Times New Roman" w:ascii="Times New Roman" w:hAnsi="Times New Roman"/>
                    </w:rPr>
                  </w:r>
                </w:p>
              </w:tc>
            </w:tr>
            <w:tr>
              <w:trPr>
                <w:trHeight w:val="971" w:hRule="atLeast"/>
              </w:trPr>
              <w:tc>
                <w:tcPr>
                  <w:tcW w:w="2772"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 </w:t>
                  </w:r>
                </w:p>
              </w:tc>
              <w:tc>
                <w:tcPr>
                  <w:tcW w:w="1348"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 xml:space="preserve"> </w:t>
                  </w:r>
                  <w:r>
                    <w:rPr>
                      <w:rFonts w:eastAsia="Times New Roman" w:cs="Times New Roman" w:ascii="Times New Roman" w:hAnsi="Times New Roman"/>
                      <w:color w:val="000000"/>
                    </w:rPr>
                    <w:t>NSRL</w:t>
                  </w:r>
                </w:p>
              </w:tc>
              <w:tc>
                <w:tcPr>
                  <w:tcW w:w="1530"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Daily Intake from Levels Found at Sites</w:t>
                  </w:r>
                </w:p>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ND=0</w:t>
                  </w:r>
                </w:p>
              </w:tc>
              <w:tc>
                <w:tcPr>
                  <w:tcW w:w="1530"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 xml:space="preserve">Daily Intake at Reporting Limit </w:t>
                  </w:r>
                  <w:r>
                    <w:rPr>
                      <w:rFonts w:eastAsia="Times New Roman" w:cs="Times New Roman" w:ascii="Times New Roman" w:hAnsi="Times New Roman"/>
                    </w:rPr>
                    <w:t xml:space="preserve">ND=5.6 </w:t>
                  </w:r>
                  <w:r>
                    <w:rPr>
                      <w:rFonts w:eastAsia="Times New Roman" w:cs="Times New Roman" w:ascii="Times New Roman" w:hAnsi="Times New Roman"/>
                      <w:b/>
                    </w:rPr>
                    <w:t>(min RL)</w:t>
                  </w:r>
                </w:p>
              </w:tc>
              <w:tc>
                <w:tcPr>
                  <w:tcW w:w="1532"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 xml:space="preserve">Daily Intake at Reporting </w:t>
                  </w:r>
                  <w:r>
                    <w:rPr>
                      <w:rFonts w:eastAsia="Times New Roman" w:cs="Times New Roman" w:ascii="Times New Roman" w:hAnsi="Times New Roman"/>
                    </w:rPr>
                    <w:t xml:space="preserve">Limit ND=82 </w:t>
                  </w:r>
                  <w:r>
                    <w:rPr>
                      <w:rFonts w:eastAsia="Times New Roman" w:cs="Times New Roman" w:ascii="Times New Roman" w:hAnsi="Times New Roman"/>
                      <w:b/>
                    </w:rPr>
                    <w:t>(max RL)</w:t>
                  </w:r>
                  <w:r>
                    <w:rPr>
                      <w:rFonts w:eastAsia="Times New Roman" w:cs="Times New Roman" w:ascii="Times New Roman" w:hAnsi="Times New Roman"/>
                      <w:color w:val="DD0806"/>
                    </w:rPr>
                    <w:t xml:space="preserve"> </w:t>
                  </w:r>
                </w:p>
              </w:tc>
            </w:tr>
            <w:tr>
              <w:trPr>
                <w:trHeight w:val="683" w:hRule="atLeast"/>
              </w:trPr>
              <w:tc>
                <w:tcPr>
                  <w:tcW w:w="2772"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PCB Intake Rate (ug/day)</w:t>
                  </w:r>
                </w:p>
              </w:tc>
              <w:tc>
                <w:tcPr>
                  <w:tcW w:w="1348"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rPr>
                  </w:pPr>
                  <w:r>
                    <w:rPr>
                      <w:rFonts w:eastAsia="Times New Roman" w:cs="Times New Roman" w:ascii="Times New Roman" w:hAnsi="Times New Roman"/>
                    </w:rPr>
                    <w:t>0.09</w:t>
                  </w:r>
                </w:p>
              </w:tc>
              <w:tc>
                <w:tcPr>
                  <w:tcW w:w="153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rPr>
                  </w:pPr>
                  <w:r>
                    <w:rPr>
                      <w:rFonts w:eastAsia="Times New Roman" w:cs="Times New Roman" w:ascii="Times New Roman" w:hAnsi="Times New Roman"/>
                    </w:rPr>
                    <w:t>0</w:t>
                  </w:r>
                </w:p>
              </w:tc>
              <w:tc>
                <w:tcPr>
                  <w:tcW w:w="153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bCs/>
                    </w:rPr>
                  </w:pPr>
                  <w:r>
                    <w:rPr>
                      <w:rFonts w:eastAsia="Times New Roman" w:cs="Times New Roman" w:ascii="Times New Roman" w:hAnsi="Times New Roman"/>
                      <w:bCs/>
                    </w:rPr>
                    <w:t>0.1176</w:t>
                  </w:r>
                </w:p>
              </w:tc>
              <w:tc>
                <w:tcPr>
                  <w:tcW w:w="1532"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bCs/>
                    </w:rPr>
                  </w:pPr>
                  <w:r>
                    <w:rPr>
                      <w:rFonts w:eastAsia="Times New Roman" w:cs="Times New Roman" w:ascii="Times New Roman" w:hAnsi="Times New Roman"/>
                      <w:bCs/>
                    </w:rPr>
                    <w:t>1.722</w:t>
                  </w:r>
                </w:p>
              </w:tc>
            </w:tr>
          </w:tbl>
          <w:p>
            <w:pPr>
              <w:pStyle w:val="Normal"/>
              <w:rPr>
                <w:rFonts w:ascii="Calibri" w:hAnsi="Calibri" w:eastAsia="Times New Roman" w:cs="Times New Roman"/>
                <w:b/>
                <w:b/>
                <w:bCs/>
                <w:color w:val="000000"/>
                <w:sz w:val="32"/>
                <w:szCs w:val="32"/>
              </w:rPr>
            </w:pPr>
            <w:r>
              <w:rPr>
                <w:rFonts w:eastAsia="Times New Roman" w:cs="Times New Roman" w:ascii="Calibri" w:hAnsi="Calibri"/>
                <w:b/>
                <w:bCs/>
                <w:color w:val="000000"/>
                <w:sz w:val="32"/>
                <w:szCs w:val="32"/>
              </w:rPr>
            </w:r>
          </w:p>
        </w:tc>
        <w:tc>
          <w:tcPr>
            <w:tcW w:w="5642"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bl>
            <w:tblPr>
              <w:tblW w:w="1060" w:type="dxa"/>
              <w:jc w:val="left"/>
              <w:tblInd w:w="0" w:type="dxa"/>
              <w:tblCellMar>
                <w:top w:w="0" w:type="dxa"/>
                <w:left w:w="0" w:type="dxa"/>
                <w:bottom w:w="0" w:type="dxa"/>
                <w:right w:w="0" w:type="dxa"/>
              </w:tblCellMar>
              <w:tblLook w:noVBand="1" w:val="04a0" w:noHBand="0" w:lastColumn="0" w:firstColumn="1" w:lastRow="0" w:firstRow="1"/>
            </w:tblPr>
            <w:tblGrid>
              <w:gridCol w:w="1060"/>
            </w:tblGrid>
            <w:tr>
              <w:trPr>
                <w:trHeight w:val="400" w:hRule="exact"/>
              </w:trPr>
              <w:tc>
                <w:tcPr>
                  <w:tcW w:w="1060"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r>
          </w:tbl>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680"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294"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317"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314" w:type="dxa"/>
            <w:tcBorders/>
            <w:shd w:color="auto" w:fill="auto" w:val="clear"/>
            <w:vAlign w:val="bottom"/>
          </w:tcPr>
          <w:p>
            <w:pPr>
              <w:pStyle w:val="Normal"/>
              <w:rPr>
                <w:rFonts w:ascii="Helvetica Neue" w:hAnsi="Helvetica Neue" w:eastAsia="Times New Roman" w:cs="Times New Roman"/>
                <w:color w:val="333333"/>
                <w:sz w:val="21"/>
                <w:szCs w:val="21"/>
              </w:rPr>
            </w:pPr>
            <w:r>
              <w:rPr>
                <w:rFonts w:eastAsia="Times New Roman" w:cs="Times New Roman" w:ascii="Helvetica Neue" w:hAnsi="Helvetica Neue"/>
                <w:color w:val="333333"/>
                <w:sz w:val="21"/>
                <w:szCs w:val="21"/>
              </w:rPr>
            </w:r>
          </w:p>
        </w:tc>
      </w:tr>
    </w:tbl>
    <w:p>
      <w:pPr>
        <w:pStyle w:val="Normal"/>
        <w:tabs>
          <w:tab w:val="clear" w:pos="720"/>
          <w:tab w:val="left" w:pos="0" w:leader="none"/>
        </w:tabs>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14841" w:type="dxa"/>
        <w:jc w:val="left"/>
        <w:tblInd w:w="109" w:type="dxa"/>
        <w:tblCellMar>
          <w:top w:w="0" w:type="dxa"/>
          <w:left w:w="108" w:type="dxa"/>
          <w:bottom w:w="0" w:type="dxa"/>
          <w:right w:w="108" w:type="dxa"/>
        </w:tblCellMar>
        <w:tblLook w:noVBand="1" w:val="04a0" w:noHBand="0" w:lastColumn="0" w:firstColumn="1" w:lastRow="0" w:firstRow="1"/>
      </w:tblPr>
      <w:tblGrid>
        <w:gridCol w:w="8999"/>
        <w:gridCol w:w="236"/>
        <w:gridCol w:w="1680"/>
        <w:gridCol w:w="1294"/>
        <w:gridCol w:w="1317"/>
        <w:gridCol w:w="1314"/>
      </w:tblGrid>
      <w:tr>
        <w:trPr>
          <w:trHeight w:val="400" w:hRule="atLeast"/>
        </w:trPr>
        <w:tc>
          <w:tcPr>
            <w:tcW w:w="8999" w:type="dxa"/>
            <w:tcBorders/>
            <w:shd w:color="auto" w:fill="auto" w:val="clear"/>
            <w:vAlign w:val="bottom"/>
          </w:tcPr>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t xml:space="preserve">Polycyclic Aromatic Hydrocarbons (PAHs) Summary – Plant Tissue </w:t>
            </w:r>
          </w:p>
          <w:p>
            <w:pPr>
              <w:pStyle w:val="Normal"/>
              <w:tabs>
                <w:tab w:val="clear" w:pos="720"/>
                <w:tab w:val="left" w:pos="0" w:leader="none"/>
              </w:tabs>
              <w:ind w:right="580"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mc:AlternateContent>
                <mc:Choice Requires="wps">
                  <w:drawing>
                    <wp:anchor behindDoc="0" distT="0" distB="0" distL="114300" distR="114300" simplePos="0" locked="0" layoutInCell="1" allowOverlap="1" relativeHeight="9" wp14:anchorId="7789064F">
                      <wp:simplePos x="0" y="0"/>
                      <wp:positionH relativeFrom="column">
                        <wp:posOffset>-68580</wp:posOffset>
                      </wp:positionH>
                      <wp:positionV relativeFrom="paragraph">
                        <wp:posOffset>126365</wp:posOffset>
                      </wp:positionV>
                      <wp:extent cx="5716270" cy="919480"/>
                      <wp:effectExtent l="0" t="0" r="25400" b="21590"/>
                      <wp:wrapSquare wrapText="bothSides"/>
                      <wp:docPr id="19" name="Text Box 8"/>
                      <a:graphic xmlns:a="http://schemas.openxmlformats.org/drawingml/2006/main">
                        <a:graphicData uri="http://schemas.microsoft.com/office/word/2010/wordprocessingShape">
                          <wps:wsp>
                            <wps:cNvSpPr/>
                            <wps:spPr>
                              <a:xfrm>
                                <a:off x="0" y="0"/>
                                <a:ext cx="5715720" cy="918720"/>
                              </a:xfrm>
                              <a:prstGeom prst="rect">
                                <a:avLst/>
                              </a:prstGeom>
                              <a:solidFill>
                                <a:srgbClr val="dce6f2"/>
                              </a:solidFill>
                              <a:ln>
                                <a:noFill/>
                              </a:ln>
                            </wps:spPr>
                            <wps:style>
                              <a:lnRef idx="0">
                                <a:schemeClr val="accent1"/>
                              </a:lnRef>
                              <a:fillRef idx="0">
                                <a:schemeClr val="accent1"/>
                              </a:fillRef>
                              <a:effectRef idx="0">
                                <a:schemeClr val="accent1"/>
                              </a:effectRef>
                              <a:fontRef idx="minor"/>
                            </wps:style>
                            <wps:txbx>
                              <w:txbxContent>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Interpretation</w:t>
                                  </w:r>
                                  <w:r>
                                    <w:rPr>
                                      <w:rFonts w:ascii="Times New Roman" w:hAnsi="Times New Roman"/>
                                      <w:color w:val="000000"/>
                                      <w:sz w:val="24"/>
                                      <w:szCs w:val="24"/>
                                    </w:rPr>
                                    <w:t xml:space="preserve">: There were no PAHs detected in the plant samples from your site. However, due to the high reporting limit from standard laboratory methods, we are not able to confirm whether or not your site has PAHs at levels below our reporting limit that still exceed the Proposition 65 NSRL. </w:t>
                                  </w:r>
                                </w:p>
                                <w:p>
                                  <w:pPr>
                                    <w:pStyle w:val="FrameContents"/>
                                    <w:rPr/>
                                  </w:pPr>
                                  <w:r>
                                    <w:rPr/>
                                  </w:r>
                                </w:p>
                              </w:txbxContent>
                            </wps:txbx>
                            <wps:bodyPr>
                              <a:prstTxWarp prst="textNoShape"/>
                              <a:noAutofit/>
                            </wps:bodyPr>
                          </wps:wsp>
                        </a:graphicData>
                      </a:graphic>
                    </wp:anchor>
                  </w:drawing>
                </mc:Choice>
                <mc:Fallback>
                  <w:pict>
                    <v:rect id="shape_0" ID="Text Box 8" fillcolor="#dce6f2" stroked="f" style="position:absolute;margin-left:-5.4pt;margin-top:9.95pt;width:450pt;height:72.3pt" wp14:anchorId="7789064F">
                      <w10:wrap type="square"/>
                      <v:fill o:detectmouseclick="t" type="solid" color2="#23190d"/>
                      <v:stroke color="#3465a4" joinstyle="round" endcap="flat"/>
                      <v:textbox>
                        <w:txbxContent>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Interpretation</w:t>
                            </w:r>
                            <w:r>
                              <w:rPr>
                                <w:rFonts w:ascii="Times New Roman" w:hAnsi="Times New Roman"/>
                                <w:color w:val="000000"/>
                                <w:sz w:val="24"/>
                                <w:szCs w:val="24"/>
                              </w:rPr>
                              <w:t xml:space="preserve">: There were no PAHs detected in the plant samples from your site. However, due to the high reporting limit from standard laboratory methods, we are not able to confirm whether or not your site has PAHs at levels below our reporting limit that still exceed the Proposition 65 NSRL. </w:t>
                            </w:r>
                          </w:p>
                          <w:p>
                            <w:pPr>
                              <w:pStyle w:val="FrameContents"/>
                              <w:rPr/>
                            </w:pPr>
                            <w:r>
                              <w:rPr/>
                            </w:r>
                          </w:p>
                        </w:txbxContent>
                      </v:textbox>
                    </v:rect>
                  </w:pict>
                </mc:Fallback>
              </mc:AlternateContent>
            </w:r>
          </w:p>
          <w:p>
            <w:pPr>
              <w:pStyle w:val="Normal"/>
              <w:tabs>
                <w:tab w:val="clear" w:pos="720"/>
                <w:tab w:val="left" w:pos="0" w:leader="none"/>
              </w:tabs>
              <w:ind w:right="-108"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Table 2 shows how Proposition 65’s “No Significant Risk Level” (NSRL) for several different PAHs compares to the “method reporting limit” (MRL) from our lab, which is the lowest level that our tests are able to detect. The MRL listed in table 2 is an average across all samples of washed and unwashed produce taken from all sites.</w:t>
            </w:r>
          </w:p>
          <w:p>
            <w:pPr>
              <w:pStyle w:val="Normal"/>
              <w:tabs>
                <w:tab w:val="clear" w:pos="720"/>
                <w:tab w:val="left" w:pos="0" w:leader="none"/>
              </w:tabs>
              <w:ind w:right="-108"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r>
          </w:p>
          <w:p>
            <w:pPr>
              <w:pStyle w:val="Normal"/>
              <w:tabs>
                <w:tab w:val="clear" w:pos="720"/>
                <w:tab w:val="left" w:pos="0" w:leader="none"/>
              </w:tabs>
              <w:ind w:right="-108" w:hanging="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Table 2: Proposition 65 comparisons for PAHs (ug/day)</w:t>
            </w:r>
          </w:p>
          <w:p>
            <w:pPr>
              <w:pStyle w:val="Normal"/>
              <w:tabs>
                <w:tab w:val="clear" w:pos="720"/>
                <w:tab w:val="left" w:pos="0" w:leader="none"/>
              </w:tabs>
              <w:ind w:right="-108"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r>
          </w:p>
          <w:tbl>
            <w:tblPr>
              <w:tblW w:w="7182" w:type="dxa"/>
              <w:jc w:val="left"/>
              <w:tblInd w:w="0" w:type="dxa"/>
              <w:tblCellMar>
                <w:top w:w="0" w:type="dxa"/>
                <w:left w:w="108" w:type="dxa"/>
                <w:bottom w:w="0" w:type="dxa"/>
                <w:right w:w="108" w:type="dxa"/>
              </w:tblCellMar>
              <w:tblLook w:noVBand="1" w:val="04a0" w:noHBand="0" w:lastColumn="0" w:firstColumn="1" w:lastRow="0" w:firstRow="1"/>
            </w:tblPr>
            <w:tblGrid>
              <w:gridCol w:w="2772"/>
              <w:gridCol w:w="1349"/>
              <w:gridCol w:w="1530"/>
              <w:gridCol w:w="1530"/>
            </w:tblGrid>
            <w:tr>
              <w:trPr>
                <w:trHeight w:val="971" w:hRule="atLeast"/>
              </w:trPr>
              <w:tc>
                <w:tcPr>
                  <w:tcW w:w="27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 </w:t>
                  </w:r>
                </w:p>
              </w:tc>
              <w:tc>
                <w:tcPr>
                  <w:tcW w:w="1349" w:type="dxa"/>
                  <w:tcBorders>
                    <w:top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NSRL for Benzo(a)</w:t>
                    <w:br/>
                    <w:t>pyrene</w:t>
                  </w:r>
                </w:p>
              </w:tc>
              <w:tc>
                <w:tcPr>
                  <w:tcW w:w="1530" w:type="dxa"/>
                  <w:tcBorders>
                    <w:top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Daily Intake from Levels Found at Sites</w:t>
                  </w:r>
                </w:p>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ND=0</w:t>
                  </w:r>
                </w:p>
              </w:tc>
              <w:tc>
                <w:tcPr>
                  <w:tcW w:w="1530" w:type="dxa"/>
                  <w:tcBorders>
                    <w:top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Daily Intake at</w:t>
                  </w:r>
                </w:p>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Reporting Limit</w:t>
                  </w:r>
                </w:p>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ND=178.33</w:t>
                  </w:r>
                </w:p>
                <w:p>
                  <w:pPr>
                    <w:pStyle w:val="Normal"/>
                    <w:rPr>
                      <w:rFonts w:ascii="Times New Roman" w:hAnsi="Times New Roman" w:eastAsia="Times New Roman" w:cs="Times New Roman"/>
                      <w:b/>
                      <w:b/>
                      <w:color w:val="000000"/>
                    </w:rPr>
                  </w:pPr>
                  <w:r>
                    <w:rPr>
                      <w:rFonts w:eastAsia="Times New Roman" w:cs="Times New Roman" w:ascii="Times New Roman" w:hAnsi="Times New Roman"/>
                      <w:b/>
                      <w:color w:val="000000"/>
                    </w:rPr>
                    <w:t>(average RL)</w:t>
                  </w:r>
                </w:p>
              </w:tc>
            </w:tr>
            <w:tr>
              <w:trPr>
                <w:trHeight w:val="683" w:hRule="atLeast"/>
              </w:trPr>
              <w:tc>
                <w:tcPr>
                  <w:tcW w:w="2772"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PAH Intake Rate (ug/day)</w:t>
                  </w:r>
                </w:p>
              </w:tc>
              <w:tc>
                <w:tcPr>
                  <w:tcW w:w="1349"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rPr>
                  </w:pPr>
                  <w:r>
                    <w:rPr>
                      <w:rFonts w:eastAsia="Times New Roman" w:cs="Times New Roman" w:ascii="Times New Roman" w:hAnsi="Times New Roman"/>
                    </w:rPr>
                    <w:t>0.06</w:t>
                  </w:r>
                </w:p>
              </w:tc>
              <w:tc>
                <w:tcPr>
                  <w:tcW w:w="153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rPr>
                  </w:pPr>
                  <w:r>
                    <w:rPr>
                      <w:rFonts w:eastAsia="Times New Roman" w:cs="Times New Roman" w:ascii="Times New Roman" w:hAnsi="Times New Roman"/>
                    </w:rPr>
                    <w:t>0</w:t>
                  </w:r>
                </w:p>
              </w:tc>
              <w:tc>
                <w:tcPr>
                  <w:tcW w:w="153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bCs/>
                    </w:rPr>
                  </w:pPr>
                  <w:r>
                    <w:rPr>
                      <w:rFonts w:eastAsia="Times New Roman" w:cs="Times New Roman" w:ascii="Times New Roman" w:hAnsi="Times New Roman"/>
                      <w:bCs/>
                    </w:rPr>
                    <w:t>0.7489</w:t>
                  </w:r>
                </w:p>
              </w:tc>
            </w:tr>
          </w:tbl>
          <w:p>
            <w:pPr>
              <w:pStyle w:val="Normal"/>
              <w:tabs>
                <w:tab w:val="clear" w:pos="720"/>
                <w:tab w:val="left" w:pos="0" w:leader="none"/>
              </w:tabs>
              <w:ind w:right="580" w:hanging="0"/>
              <w:rPr>
                <w:rFonts w:ascii="Calibri" w:hAnsi="Calibri"/>
                <w:b/>
                <w:b/>
              </w:rPr>
            </w:pPr>
            <w:r>
              <w:rPr>
                <w:rFonts w:ascii="Calibri" w:hAnsi="Calibri"/>
                <w:b/>
              </w:rPr>
            </w:r>
          </w:p>
        </w:tc>
        <w:tc>
          <w:tcPr>
            <w:tcW w:w="236"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bl>
            <w:tblPr>
              <w:tblW w:w="1060" w:type="dxa"/>
              <w:jc w:val="left"/>
              <w:tblInd w:w="0" w:type="dxa"/>
              <w:tblCellMar>
                <w:top w:w="0" w:type="dxa"/>
                <w:left w:w="0" w:type="dxa"/>
                <w:bottom w:w="0" w:type="dxa"/>
                <w:right w:w="0" w:type="dxa"/>
              </w:tblCellMar>
              <w:tblLook w:noVBand="1" w:val="04a0" w:noHBand="0" w:lastColumn="0" w:firstColumn="1" w:lastRow="0" w:firstRow="1"/>
            </w:tblPr>
            <w:tblGrid>
              <w:gridCol w:w="1060"/>
            </w:tblGrid>
            <w:tr>
              <w:trPr>
                <w:trHeight w:val="400" w:hRule="exact"/>
              </w:trPr>
              <w:tc>
                <w:tcPr>
                  <w:tcW w:w="1060"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r>
          </w:tbl>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680"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294"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317" w:type="dxa"/>
            <w:tcBorders/>
            <w:shd w:color="auto"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314" w:type="dxa"/>
            <w:tcBorders/>
            <w:shd w:color="auto" w:fill="auto" w:val="clear"/>
            <w:vAlign w:val="bottom"/>
          </w:tcPr>
          <w:p>
            <w:pPr>
              <w:pStyle w:val="Normal"/>
              <w:rPr>
                <w:rFonts w:ascii="Helvetica Neue" w:hAnsi="Helvetica Neue" w:eastAsia="Times New Roman" w:cs="Times New Roman"/>
                <w:color w:val="333333"/>
                <w:sz w:val="21"/>
                <w:szCs w:val="21"/>
              </w:rPr>
            </w:pPr>
            <w:r>
              <w:rPr>
                <w:rFonts w:eastAsia="Times New Roman" w:cs="Times New Roman" w:ascii="Helvetica Neue" w:hAnsi="Helvetica Neue"/>
                <w:color w:val="333333"/>
                <w:sz w:val="21"/>
                <w:szCs w:val="21"/>
              </w:rPr>
            </w:r>
          </w:p>
        </w:tc>
      </w:tr>
    </w:tbl>
    <w:p>
      <w:pPr>
        <w:pStyle w:val="Normal"/>
        <w:tabs>
          <w:tab w:val="clear" w:pos="720"/>
          <w:tab w:val="left" w:pos="0" w:leader="none"/>
        </w:tabs>
        <w:rPr>
          <w:rFonts w:ascii="Calibri" w:hAnsi="Calibri" w:eastAsia="Times New Roman" w:cs="Times New Roman"/>
          <w:bCs/>
          <w:color w:val="000000"/>
          <w:u w:val="single"/>
        </w:rPr>
      </w:pPr>
      <w:r>
        <w:rPr>
          <w:rFonts w:eastAsia="Times New Roman" w:cs="Times New Roman" w:ascii="Calibri" w:hAnsi="Calibri"/>
          <w:bCs/>
          <w:color w:val="000000"/>
          <w:u w:val="single"/>
        </w:rPr>
      </w:r>
    </w:p>
    <w:p>
      <w:pPr>
        <w:pStyle w:val="Normal"/>
        <w:tabs>
          <w:tab w:val="clear" w:pos="720"/>
          <w:tab w:val="left" w:pos="0" w:leader="none"/>
        </w:tabs>
        <w:rPr>
          <w:rFonts w:ascii="Times New Roman" w:hAnsi="Times New Roman"/>
          <w:sz w:val="24"/>
          <w:szCs w:val="24"/>
        </w:rPr>
      </w:pPr>
      <w:r>
        <w:rPr>
          <w:rFonts w:eastAsia="Times New Roman" w:cs="Times New Roman" w:ascii="Times New Roman" w:hAnsi="Times New Roman"/>
          <w:bCs/>
          <w:color w:val="000000"/>
          <w:sz w:val="24"/>
          <w:szCs w:val="24"/>
          <w:u w:val="single"/>
        </w:rPr>
        <w:t>For Example:</w:t>
      </w:r>
      <w:r>
        <w:rPr>
          <w:rFonts w:eastAsia="Times New Roman" w:cs="Times New Roman" w:ascii="Times New Roman" w:hAnsi="Times New Roman"/>
          <w:bCs/>
          <w:color w:val="000000"/>
          <w:sz w:val="24"/>
          <w:szCs w:val="24"/>
        </w:rPr>
        <w:t xml:space="preserve"> Daily Intake of benzo(a)pyrene above 0.06 ug/day but below 7.489 ug/day would exceed Prop 65 NSRL levels, but would not be detected by our test.</w:t>
      </w:r>
    </w:p>
    <w:p>
      <w:pPr>
        <w:pStyle w:val="Normal"/>
        <w:rPr>
          <w:rFonts w:ascii="Times New Roman" w:hAnsi="Times New Roman"/>
          <w:sz w:val="24"/>
          <w:szCs w:val="24"/>
        </w:rPr>
      </w:pPr>
      <w:r>
        <w:rPr>
          <w:rFonts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r>
        <w:br w:type="page"/>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t xml:space="preserve">Dioxins &amp; Furans Summary – Plant Tissue </w: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mc:AlternateContent>
          <mc:Choice Requires="wps">
            <w:drawing>
              <wp:anchor behindDoc="0" distT="0" distB="0" distL="114300" distR="114300" simplePos="0" locked="0" layoutInCell="1" allowOverlap="1" relativeHeight="7" wp14:anchorId="21617F37">
                <wp:simplePos x="0" y="0"/>
                <wp:positionH relativeFrom="column">
                  <wp:posOffset>-68580</wp:posOffset>
                </wp:positionH>
                <wp:positionV relativeFrom="paragraph">
                  <wp:posOffset>221615</wp:posOffset>
                </wp:positionV>
                <wp:extent cx="5784850" cy="1171575"/>
                <wp:effectExtent l="0" t="0" r="33020" b="23495"/>
                <wp:wrapSquare wrapText="bothSides"/>
                <wp:docPr id="21" name="Text Box 15"/>
                <a:graphic xmlns:a="http://schemas.openxmlformats.org/drawingml/2006/main">
                  <a:graphicData uri="http://schemas.microsoft.com/office/word/2010/wordprocessingShape">
                    <wps:wsp>
                      <wps:cNvSpPr/>
                      <wps:spPr>
                        <a:xfrm>
                          <a:off x="0" y="0"/>
                          <a:ext cx="5784120" cy="1171080"/>
                        </a:xfrm>
                        <a:prstGeom prst="rect">
                          <a:avLst/>
                        </a:prstGeom>
                        <a:solidFill>
                          <a:srgbClr val="dce6f2"/>
                        </a:solidFill>
                        <a:ln>
                          <a:noFill/>
                        </a:ln>
                      </wps:spPr>
                      <wps:style>
                        <a:lnRef idx="0">
                          <a:schemeClr val="accent1"/>
                        </a:lnRef>
                        <a:fillRef idx="0">
                          <a:schemeClr val="accent1"/>
                        </a:fillRef>
                        <a:effectRef idx="0">
                          <a:schemeClr val="accent1"/>
                        </a:effectRef>
                        <a:fontRef idx="minor"/>
                      </wps:style>
                      <wps:txbx>
                        <w:txbxContent>
                          <w:p>
                            <w:pPr>
                              <w:pStyle w:val="FrameContents"/>
                              <w:tabs>
                                <w:tab w:val="clear" w:pos="720"/>
                                <w:tab w:val="left" w:pos="0" w:leader="none"/>
                              </w:tabs>
                              <w:rPr/>
                            </w:pPr>
                            <w:r>
                              <w:rPr>
                                <w:rFonts w:cs="Times New Roman" w:ascii="Times New Roman" w:hAnsi="Times New Roman"/>
                                <w:color w:val="000000"/>
                                <w:sz w:val="24"/>
                                <w:szCs w:val="24"/>
                                <w:u w:val="single"/>
                              </w:rPr>
                              <w:t>Interpretation</w:t>
                            </w:r>
                            <w:r>
                              <w:rPr>
                                <w:rFonts w:cs="Times New Roman" w:ascii="Times New Roman" w:hAnsi="Times New Roman"/>
                                <w:color w:val="000000"/>
                                <w:sz w:val="24"/>
                                <w:szCs w:val="24"/>
                              </w:rPr>
                              <w:t>: Some dioxins or furans were detected in 4 out of 7 samples from your site, but no samples had detectable levels of the higher-toxicity dioxins that are of greatest concern for public health. However, we cannot completely confirm that your site does not have dioxins &amp; furans above the Proposition 65 NSRL due to the high detection limit from standard laboratory methods.</w:t>
                            </w:r>
                          </w:p>
                        </w:txbxContent>
                      </wps:txbx>
                      <wps:bodyPr>
                        <a:prstTxWarp prst="textNoShape"/>
                        <a:noAutofit/>
                      </wps:bodyPr>
                    </wps:wsp>
                  </a:graphicData>
                </a:graphic>
              </wp:anchor>
            </w:drawing>
          </mc:Choice>
          <mc:Fallback>
            <w:pict>
              <v:rect id="shape_0" ID="Text Box 15" fillcolor="#dce6f2" stroked="f" style="position:absolute;margin-left:-5.4pt;margin-top:17.45pt;width:455.4pt;height:92.15pt" wp14:anchorId="21617F37">
                <w10:wrap type="square"/>
                <v:fill o:detectmouseclick="t" type="solid" color2="#23190d"/>
                <v:stroke color="#3465a4" joinstyle="round" endcap="flat"/>
                <v:textbox>
                  <w:txbxContent>
                    <w:p>
                      <w:pPr>
                        <w:pStyle w:val="FrameContents"/>
                        <w:tabs>
                          <w:tab w:val="clear" w:pos="720"/>
                          <w:tab w:val="left" w:pos="0" w:leader="none"/>
                        </w:tabs>
                        <w:rPr/>
                      </w:pPr>
                      <w:r>
                        <w:rPr>
                          <w:rFonts w:cs="Times New Roman" w:ascii="Times New Roman" w:hAnsi="Times New Roman"/>
                          <w:color w:val="000000"/>
                          <w:sz w:val="24"/>
                          <w:szCs w:val="24"/>
                          <w:u w:val="single"/>
                        </w:rPr>
                        <w:t>Interpretation</w:t>
                      </w:r>
                      <w:r>
                        <w:rPr>
                          <w:rFonts w:cs="Times New Roman" w:ascii="Times New Roman" w:hAnsi="Times New Roman"/>
                          <w:color w:val="000000"/>
                          <w:sz w:val="24"/>
                          <w:szCs w:val="24"/>
                        </w:rPr>
                        <w:t>: Some dioxins or furans were detected in 4 out of 7 samples from your site, but no samples had detectable levels of the higher-toxicity dioxins that are of greatest concern for public health. However, we cannot completely confirm that your site does not have dioxins &amp; furans above the Proposition 65 NSRL due to the high detection limit from standard laboratory methods.</w:t>
                      </w:r>
                    </w:p>
                  </w:txbxContent>
                </v:textbox>
              </v:rect>
            </w:pict>
          </mc:Fallback>
        </mc:AlternateContent>
      </w:r>
    </w:p>
    <w:p>
      <w:pPr>
        <w:pStyle w:val="Normal"/>
        <w:rPr>
          <w:rFonts w:ascii="Calibri" w:hAnsi="Calibri" w:eastAsia="Times New Roman" w:cs="Times New Roman"/>
          <w:b/>
          <w:b/>
          <w:bCs/>
          <w:color w:val="000000"/>
        </w:rPr>
      </w:pPr>
      <w:r>
        <w:rPr>
          <w:rFonts w:eastAsia="Times New Roman" w:cs="Times New Roman" w:ascii="Calibri" w:hAnsi="Calibri"/>
          <w:b/>
          <w:bCs/>
          <w:color w:val="000000"/>
        </w:rPr>
      </w:r>
    </w:p>
    <w:p>
      <w:pPr>
        <w:pStyle w:val="Normal"/>
        <w:ind w:right="360"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 xml:space="preserve">Table 3 and graph A shows how Proposition 65’s “No Significant Risk Level” (NSRL) compares to the “detection limit” (DL) from our lab, which is the lowest level that our tests are able to detect. It is a common convention in scientific studies to use half of the detection limit rather than “0” for non-detect results (ND=DL/2).  Your ND=DL/2 results are equivalent to the Prop 65 NSRL.  </w:t>
      </w:r>
      <w:r>
        <w:rPr>
          <w:rFonts w:cs="Times New Roman" w:ascii="Times New Roman" w:hAnsi="Times New Roman"/>
          <w:sz w:val="24"/>
          <w:szCs w:val="24"/>
          <w:u w:val="single"/>
        </w:rPr>
        <w:t>Key</w:t>
      </w:r>
      <w:r>
        <w:rPr>
          <w:rFonts w:cs="Times New Roman" w:ascii="Times New Roman" w:hAnsi="Times New Roman"/>
          <w:sz w:val="24"/>
          <w:szCs w:val="24"/>
        </w:rPr>
        <w:t>: ND= “Non-Detect”; DL= “Detection Limit”</w:t>
      </w:r>
    </w:p>
    <w:p>
      <w:pPr>
        <w:pStyle w:val="Normal"/>
        <w:rPr>
          <w:rFonts w:ascii="Times New Roman" w:hAnsi="Times New Roman" w:eastAsia="Times New Roman" w:cs="Times New Roman"/>
          <w:bCs/>
          <w:color w:val="000000"/>
        </w:rPr>
      </w:pPr>
      <w:r>
        <w:rPr>
          <w:rFonts w:eastAsia="Times New Roman" w:cs="Times New Roman" w:ascii="Times New Roman" w:hAnsi="Times New Roman"/>
          <w:bCs/>
          <w:color w:val="000000"/>
        </w:rPr>
      </w:r>
    </w:p>
    <w:tbl>
      <w:tblPr>
        <w:tblW w:w="9015" w:type="dxa"/>
        <w:jc w:val="left"/>
        <w:tblInd w:w="93" w:type="dxa"/>
        <w:tblCellMar>
          <w:top w:w="0" w:type="dxa"/>
          <w:left w:w="108" w:type="dxa"/>
          <w:bottom w:w="0" w:type="dxa"/>
          <w:right w:w="108" w:type="dxa"/>
        </w:tblCellMar>
        <w:tblLook w:noVBand="1" w:val="04a0" w:noHBand="0" w:lastColumn="0" w:firstColumn="1" w:lastRow="0" w:firstRow="1"/>
      </w:tblPr>
      <w:tblGrid>
        <w:gridCol w:w="2263"/>
        <w:gridCol w:w="1350"/>
        <w:gridCol w:w="1890"/>
        <w:gridCol w:w="1800"/>
        <w:gridCol w:w="1712"/>
      </w:tblGrid>
      <w:tr>
        <w:trPr>
          <w:trHeight w:val="180" w:hRule="atLeast"/>
        </w:trPr>
        <w:tc>
          <w:tcPr>
            <w:tcW w:w="9015" w:type="dxa"/>
            <w:gridSpan w:val="5"/>
            <w:tcBorders>
              <w:bottom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bCs/>
                <w:color w:val="000000"/>
                <w:sz w:val="24"/>
                <w:szCs w:val="24"/>
              </w:rPr>
              <w:t>Table 3: Proposition 65 Comparisons</w:t>
            </w:r>
            <w:r>
              <w:rPr>
                <w:rFonts w:eastAsia="Times New Roman" w:cs="Times New Roman" w:ascii="Times New Roman" w:hAnsi="Times New Roman"/>
                <w:b/>
                <w:sz w:val="24"/>
                <w:szCs w:val="24"/>
              </w:rPr>
              <w:t xml:space="preserve"> for Dioxins and Furans</w:t>
            </w:r>
          </w:p>
        </w:tc>
      </w:tr>
      <w:tr>
        <w:trPr>
          <w:trHeight w:val="1295" w:hRule="atLeast"/>
        </w:trPr>
        <w:tc>
          <w:tcPr>
            <w:tcW w:w="226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 </w:t>
            </w:r>
          </w:p>
        </w:tc>
        <w:tc>
          <w:tcPr>
            <w:tcW w:w="1350" w:type="dxa"/>
            <w:tcBorders>
              <w:top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NSRL</w:t>
            </w:r>
          </w:p>
        </w:tc>
        <w:tc>
          <w:tcPr>
            <w:tcW w:w="1890" w:type="dxa"/>
            <w:tcBorders>
              <w:top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Background*</w:t>
            </w:r>
          </w:p>
        </w:tc>
        <w:tc>
          <w:tcPr>
            <w:tcW w:w="18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Daily Intake from Levels Found at Sites ND=0</w:t>
            </w:r>
          </w:p>
        </w:tc>
        <w:tc>
          <w:tcPr>
            <w:tcW w:w="1712" w:type="dxa"/>
            <w:tcBorders>
              <w:top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 xml:space="preserve">Daily Intake at Half of Reporting </w:t>
            </w:r>
            <w:r>
              <w:rPr>
                <w:rFonts w:eastAsia="Times New Roman" w:cs="Times New Roman" w:ascii="Times New Roman" w:hAnsi="Times New Roman"/>
              </w:rPr>
              <w:t>Limit ND=RL/2</w:t>
            </w:r>
          </w:p>
        </w:tc>
      </w:tr>
      <w:tr>
        <w:trPr>
          <w:trHeight w:val="400" w:hRule="atLeast"/>
        </w:trPr>
        <w:tc>
          <w:tcPr>
            <w:tcW w:w="226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 xml:space="preserve">Dioxins &amp; Furans Intake Rate </w:t>
            </w:r>
          </w:p>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WHO-2005 TEQs (ug/day)</w:t>
            </w:r>
          </w:p>
        </w:tc>
        <w:tc>
          <w:tcPr>
            <w:tcW w:w="135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bCs/>
              </w:rPr>
            </w:pPr>
            <w:r>
              <w:rPr>
                <w:rFonts w:eastAsia="Times New Roman" w:cs="Times New Roman" w:ascii="Times New Roman" w:hAnsi="Times New Roman"/>
                <w:bCs/>
              </w:rPr>
              <w:t>5 x 10</w:t>
            </w:r>
            <w:r>
              <w:rPr>
                <w:rFonts w:eastAsia="Times New Roman" w:cs="Times New Roman" w:ascii="Times New Roman" w:hAnsi="Times New Roman"/>
                <w:bCs/>
                <w:vertAlign w:val="superscript"/>
              </w:rPr>
              <w:t>-6</w:t>
            </w:r>
          </w:p>
        </w:tc>
        <w:tc>
          <w:tcPr>
            <w:tcW w:w="18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bCs/>
              </w:rPr>
            </w:pPr>
            <w:r>
              <w:rPr>
                <w:rFonts w:eastAsia="Times New Roman" w:cs="Times New Roman" w:ascii="Times New Roman" w:hAnsi="Times New Roman"/>
                <w:bCs/>
              </w:rPr>
              <w:t>2.23 x 10</w:t>
            </w:r>
            <w:r>
              <w:rPr>
                <w:rFonts w:eastAsia="Times New Roman" w:cs="Times New Roman" w:ascii="Times New Roman" w:hAnsi="Times New Roman"/>
                <w:bCs/>
                <w:vertAlign w:val="superscript"/>
              </w:rPr>
              <w:t>-7</w:t>
            </w:r>
          </w:p>
        </w:tc>
        <w:tc>
          <w:tcPr>
            <w:tcW w:w="180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bCs/>
              </w:rPr>
            </w:pPr>
            <w:r>
              <w:rPr>
                <w:rFonts w:eastAsia="Times New Roman" w:cs="Times New Roman" w:ascii="Times New Roman" w:hAnsi="Times New Roman"/>
                <w:bCs/>
              </w:rPr>
              <w:t>0</w:t>
            </w:r>
          </w:p>
        </w:tc>
        <w:tc>
          <w:tcPr>
            <w:tcW w:w="1712"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rPr>
            </w:pPr>
            <w:r>
              <w:rPr>
                <w:rFonts w:eastAsia="Times New Roman" w:cs="Times New Roman" w:ascii="Times New Roman" w:hAnsi="Times New Roman"/>
                <w:bCs/>
              </w:rPr>
              <w:t>5.07 x 10</w:t>
            </w:r>
            <w:r>
              <w:rPr>
                <w:rFonts w:eastAsia="Times New Roman" w:cs="Times New Roman" w:ascii="Times New Roman" w:hAnsi="Times New Roman"/>
                <w:bCs/>
                <w:vertAlign w:val="superscript"/>
              </w:rPr>
              <w:t>-6</w:t>
            </w:r>
          </w:p>
        </w:tc>
      </w:tr>
    </w:tbl>
    <w:p>
      <w:pPr>
        <w:pStyle w:val="Normal"/>
        <w:rPr>
          <w:rFonts w:ascii="Times New Roman" w:hAnsi="Times New Roman" w:eastAsia="Times New Roman" w:cs="Times New Roman"/>
          <w:color w:val="000000"/>
        </w:rPr>
      </w:pPr>
      <w:r>
        <w:rPr>
          <w:rFonts w:cs="Times New Roman" w:ascii="Times New Roman" w:hAnsi="Times New Roman"/>
          <w:sz w:val="24"/>
          <w:szCs w:val="24"/>
        </w:rPr>
        <w:t>*</w:t>
      </w:r>
      <w:r>
        <w:rPr>
          <w:rFonts w:eastAsia="Times New Roman" w:cs="Times New Roman" w:ascii="Times New Roman" w:hAnsi="Times New Roman"/>
          <w:color w:val="000000"/>
        </w:rPr>
        <w:t xml:space="preserve"> FDA National Dioxin Survey, average results from spinach, collards, lettuce, cabbage,  2000-2004 </w:t>
      </w:r>
    </w:p>
    <w:p>
      <w:pPr>
        <w:pStyle w:val="Normal"/>
        <w:rPr>
          <w:rFonts w:ascii="Times New Roman" w:hAnsi="Times New Roman" w:eastAsia="Times New Roman" w:cs="Times New Roman"/>
          <w:color w:val="000000"/>
          <w:sz w:val="24"/>
          <w:szCs w:val="24"/>
        </w:rPr>
      </w:pPr>
      <w:r>
        <w:rPr>
          <w:rFonts w:cs="Times New Roman" w:ascii="Times New Roman" w:hAnsi="Times New Roman"/>
          <w:sz w:val="24"/>
          <w:szCs w:val="24"/>
        </w:rPr>
        <w:br/>
      </w:r>
      <w:r>
        <w:rPr>
          <w:rFonts w:eastAsia="Times New Roman" w:cs="Times New Roman" w:ascii="Times New Roman" w:hAnsi="Times New Roman"/>
          <w:b/>
          <w:bCs/>
          <w:color w:val="000000"/>
          <w:sz w:val="24"/>
          <w:szCs w:val="24"/>
        </w:rPr>
        <w:t>Graph A: Proposition 65 Comparisons</w:t>
      </w:r>
      <w:r>
        <w:rPr>
          <w:rFonts w:eastAsia="Times New Roman" w:cs="Times New Roman" w:ascii="Times New Roman" w:hAnsi="Times New Roman"/>
          <w:b/>
          <w:sz w:val="24"/>
          <w:szCs w:val="24"/>
        </w:rPr>
        <w:t xml:space="preserve"> for Dioxins and Furans</w:t>
      </w:r>
    </w:p>
    <w:p>
      <w:pPr>
        <w:pStyle w:val="Normal"/>
        <w:rPr/>
      </w:pPr>
      <w:r>
        <w:rPr/>
        <w:drawing>
          <wp:inline distT="0" distB="0" distL="0" distR="0">
            <wp:extent cx="5715000" cy="2593975"/>
            <wp:effectExtent l="0" t="0" r="0" b="0"/>
            <wp:docPr id="23"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t xml:space="preserve"> </w: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t xml:space="preserve">Heavy Metals Summary – Plant Tissue </w: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mc:AlternateContent>
          <mc:Choice Requires="wps">
            <w:drawing>
              <wp:anchor behindDoc="0" distT="0" distB="0" distL="114300" distR="114300" simplePos="0" locked="0" layoutInCell="1" allowOverlap="1" relativeHeight="8" wp14:anchorId="7BACF753">
                <wp:simplePos x="0" y="0"/>
                <wp:positionH relativeFrom="column">
                  <wp:posOffset>-68580</wp:posOffset>
                </wp:positionH>
                <wp:positionV relativeFrom="paragraph">
                  <wp:posOffset>221615</wp:posOffset>
                </wp:positionV>
                <wp:extent cx="5784850" cy="1617345"/>
                <wp:effectExtent l="0" t="0" r="33020" b="34925"/>
                <wp:wrapSquare wrapText="bothSides"/>
                <wp:docPr id="24" name="Text Box 16"/>
                <a:graphic xmlns:a="http://schemas.openxmlformats.org/drawingml/2006/main">
                  <a:graphicData uri="http://schemas.microsoft.com/office/word/2010/wordprocessingShape">
                    <wps:wsp>
                      <wps:cNvSpPr/>
                      <wps:spPr>
                        <a:xfrm>
                          <a:off x="0" y="0"/>
                          <a:ext cx="5784120" cy="1616760"/>
                        </a:xfrm>
                        <a:prstGeom prst="rect">
                          <a:avLst/>
                        </a:prstGeom>
                        <a:solidFill>
                          <a:srgbClr val="dce6f2"/>
                        </a:solidFill>
                        <a:ln>
                          <a:noFill/>
                        </a:ln>
                      </wps:spPr>
                      <wps:style>
                        <a:lnRef idx="0">
                          <a:schemeClr val="accent1"/>
                        </a:lnRef>
                        <a:fillRef idx="0">
                          <a:schemeClr val="accent1"/>
                        </a:fillRef>
                        <a:effectRef idx="0">
                          <a:schemeClr val="accent1"/>
                        </a:effectRef>
                        <a:fontRef idx="minor"/>
                      </wps:style>
                      <wps:txbx>
                        <w:txbxContent>
                          <w:p>
                            <w:pPr>
                              <w:pStyle w:val="FrameContents"/>
                              <w:tabs>
                                <w:tab w:val="clear" w:pos="720"/>
                                <w:tab w:val="left" w:pos="0" w:leader="none"/>
                              </w:tabs>
                              <w:rPr>
                                <w:rFonts w:ascii="Times New Roman" w:hAnsi="Times New Roman" w:cs="Times New Roman"/>
                                <w:sz w:val="24"/>
                                <w:szCs w:val="24"/>
                              </w:rPr>
                            </w:pPr>
                            <w:r>
                              <w:rPr>
                                <w:rFonts w:cs="Times New Roman" w:ascii="Times New Roman" w:hAnsi="Times New Roman"/>
                                <w:color w:val="000000"/>
                                <w:sz w:val="24"/>
                                <w:szCs w:val="24"/>
                                <w:u w:val="single"/>
                              </w:rPr>
                              <w:t>Interpretation</w:t>
                            </w:r>
                            <w:r>
                              <w:rPr>
                                <w:rFonts w:cs="Times New Roman" w:ascii="Times New Roman" w:hAnsi="Times New Roman"/>
                                <w:color w:val="000000"/>
                                <w:sz w:val="24"/>
                                <w:szCs w:val="24"/>
                              </w:rPr>
                              <w:t xml:space="preserve">: Some heavy metals were detected.  There were no detections of the heavy metals of greatest concern to public health, including Lead, Arsenic, Mercury, and Chromium. Nickel was detected on one sample out of eighteen tested, and only on an unwashed sample. Consuming this concentration of Nickel daily would lead to consumption rates above Proposition 65’s “No Significant Risk Level”. </w:t>
                            </w:r>
                          </w:p>
                          <w:p>
                            <w:pPr>
                              <w:pStyle w:val="FrameContents"/>
                              <w:tabs>
                                <w:tab w:val="clear" w:pos="720"/>
                                <w:tab w:val="left" w:pos="0" w:leader="none"/>
                              </w:tabs>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FrameContents"/>
                              <w:tabs>
                                <w:tab w:val="clear" w:pos="720"/>
                                <w:tab w:val="left" w:pos="0" w:leader="none"/>
                              </w:tabs>
                              <w:rPr>
                                <w:rFonts w:ascii="Times New Roman" w:hAnsi="Times New Roman" w:cs="Times New Roman"/>
                                <w:sz w:val="24"/>
                                <w:szCs w:val="24"/>
                              </w:rPr>
                            </w:pPr>
                            <w:r>
                              <w:rPr>
                                <w:rFonts w:cs="Times New Roman" w:ascii="Times New Roman" w:hAnsi="Times New Roman"/>
                                <w:color w:val="000000"/>
                                <w:sz w:val="24"/>
                                <w:szCs w:val="24"/>
                                <w:u w:val="single"/>
                              </w:rPr>
                              <w:t>Recommendations</w:t>
                            </w:r>
                            <w:r>
                              <w:rPr>
                                <w:rFonts w:cs="Times New Roman" w:ascii="Times New Roman" w:hAnsi="Times New Roman"/>
                                <w:color w:val="000000"/>
                                <w:sz w:val="24"/>
                                <w:szCs w:val="24"/>
                              </w:rPr>
                              <w:t xml:space="preserve">: Wash produce in running water. </w:t>
                            </w:r>
                          </w:p>
                          <w:p>
                            <w:pPr>
                              <w:pStyle w:val="FrameContents"/>
                              <w:tabs>
                                <w:tab w:val="clear" w:pos="720"/>
                                <w:tab w:val="left" w:pos="0" w:leader="none"/>
                              </w:tabs>
                              <w:rPr/>
                            </w:pPr>
                            <w:r>
                              <w:rPr/>
                            </w:r>
                          </w:p>
                        </w:txbxContent>
                      </wps:txbx>
                      <wps:bodyPr>
                        <a:prstTxWarp prst="textNoShape"/>
                        <a:noAutofit/>
                      </wps:bodyPr>
                    </wps:wsp>
                  </a:graphicData>
                </a:graphic>
              </wp:anchor>
            </w:drawing>
          </mc:Choice>
          <mc:Fallback>
            <w:pict>
              <v:rect id="shape_0" ID="Text Box 16" fillcolor="#dce6f2" stroked="f" style="position:absolute;margin-left:-5.4pt;margin-top:17.45pt;width:455.4pt;height:127.25pt" wp14:anchorId="7BACF753">
                <w10:wrap type="square"/>
                <v:fill o:detectmouseclick="t" type="solid" color2="#23190d"/>
                <v:stroke color="#3465a4" joinstyle="round" endcap="flat"/>
                <v:textbox>
                  <w:txbxContent>
                    <w:p>
                      <w:pPr>
                        <w:pStyle w:val="FrameContents"/>
                        <w:tabs>
                          <w:tab w:val="clear" w:pos="720"/>
                          <w:tab w:val="left" w:pos="0" w:leader="none"/>
                        </w:tabs>
                        <w:rPr>
                          <w:rFonts w:ascii="Times New Roman" w:hAnsi="Times New Roman" w:cs="Times New Roman"/>
                          <w:sz w:val="24"/>
                          <w:szCs w:val="24"/>
                        </w:rPr>
                      </w:pPr>
                      <w:r>
                        <w:rPr>
                          <w:rFonts w:cs="Times New Roman" w:ascii="Times New Roman" w:hAnsi="Times New Roman"/>
                          <w:color w:val="000000"/>
                          <w:sz w:val="24"/>
                          <w:szCs w:val="24"/>
                          <w:u w:val="single"/>
                        </w:rPr>
                        <w:t>Interpretation</w:t>
                      </w:r>
                      <w:r>
                        <w:rPr>
                          <w:rFonts w:cs="Times New Roman" w:ascii="Times New Roman" w:hAnsi="Times New Roman"/>
                          <w:color w:val="000000"/>
                          <w:sz w:val="24"/>
                          <w:szCs w:val="24"/>
                        </w:rPr>
                        <w:t xml:space="preserve">: Some heavy metals were detected.  There were no detections of the heavy metals of greatest concern to public health, including Lead, Arsenic, Mercury, and Chromium. Nickel was detected on one sample out of eighteen tested, and only on an unwashed sample. Consuming this concentration of Nickel daily would lead to consumption rates above Proposition 65’s “No Significant Risk Level”. </w:t>
                      </w:r>
                    </w:p>
                    <w:p>
                      <w:pPr>
                        <w:pStyle w:val="FrameContents"/>
                        <w:tabs>
                          <w:tab w:val="clear" w:pos="720"/>
                          <w:tab w:val="left" w:pos="0" w:leader="none"/>
                        </w:tabs>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FrameContents"/>
                        <w:tabs>
                          <w:tab w:val="clear" w:pos="720"/>
                          <w:tab w:val="left" w:pos="0" w:leader="none"/>
                        </w:tabs>
                        <w:rPr>
                          <w:rFonts w:ascii="Times New Roman" w:hAnsi="Times New Roman" w:cs="Times New Roman"/>
                          <w:sz w:val="24"/>
                          <w:szCs w:val="24"/>
                        </w:rPr>
                      </w:pPr>
                      <w:r>
                        <w:rPr>
                          <w:rFonts w:cs="Times New Roman" w:ascii="Times New Roman" w:hAnsi="Times New Roman"/>
                          <w:color w:val="000000"/>
                          <w:sz w:val="24"/>
                          <w:szCs w:val="24"/>
                          <w:u w:val="single"/>
                        </w:rPr>
                        <w:t>Recommendations</w:t>
                      </w:r>
                      <w:r>
                        <w:rPr>
                          <w:rFonts w:cs="Times New Roman" w:ascii="Times New Roman" w:hAnsi="Times New Roman"/>
                          <w:color w:val="000000"/>
                          <w:sz w:val="24"/>
                          <w:szCs w:val="24"/>
                        </w:rPr>
                        <w:t xml:space="preserve">: Wash produce in running water. </w:t>
                      </w:r>
                    </w:p>
                    <w:p>
                      <w:pPr>
                        <w:pStyle w:val="FrameContents"/>
                        <w:tabs>
                          <w:tab w:val="clear" w:pos="720"/>
                          <w:tab w:val="left" w:pos="0" w:leader="none"/>
                        </w:tabs>
                        <w:rPr/>
                      </w:pPr>
                      <w:r>
                        <w:rPr/>
                      </w:r>
                    </w:p>
                  </w:txbxContent>
                </v:textbox>
              </v:rect>
            </w:pict>
          </mc:Fallback>
        </mc:AlternateConten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Times New Roman" w:hAnsi="Times New Roman" w:cs="Times New Roman"/>
          <w:sz w:val="24"/>
          <w:szCs w:val="24"/>
        </w:rPr>
      </w:pPr>
      <w:r>
        <w:rPr>
          <w:rFonts w:cs="Times New Roman" w:ascii="Times New Roman" w:hAnsi="Times New Roman"/>
          <w:sz w:val="24"/>
          <w:szCs w:val="24"/>
        </w:rPr>
        <w:t xml:space="preserve">Table 4 summarizes the laboratory results of plant tissue sampled from your site. </w:t>
      </w:r>
    </w:p>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r>
    </w:p>
    <w:tbl>
      <w:tblPr>
        <w:tblW w:w="11085" w:type="dxa"/>
        <w:jc w:val="left"/>
        <w:tblInd w:w="93" w:type="dxa"/>
        <w:tblCellMar>
          <w:top w:w="0" w:type="dxa"/>
          <w:left w:w="108" w:type="dxa"/>
          <w:bottom w:w="0" w:type="dxa"/>
          <w:right w:w="108" w:type="dxa"/>
        </w:tblCellMar>
        <w:tblLook w:noVBand="1" w:val="04a0" w:noHBand="0" w:lastColumn="0" w:firstColumn="1" w:lastRow="0" w:firstRow="1"/>
      </w:tblPr>
      <w:tblGrid>
        <w:gridCol w:w="11085"/>
      </w:tblGrid>
      <w:tr>
        <w:trPr>
          <w:trHeight w:val="300" w:hRule="atLeast"/>
        </w:trPr>
        <w:tc>
          <w:tcPr>
            <w:tcW w:w="11085" w:type="dxa"/>
            <w:tcBorders/>
            <w:shd w:color="auto" w:fill="auto"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Table 4: Heavy Metals Concentrations ND=0 (mg/kg)</w:t>
            </w:r>
          </w:p>
          <w:tbl>
            <w:tblPr>
              <w:tblW w:w="8825" w:type="dxa"/>
              <w:jc w:val="left"/>
              <w:tblInd w:w="0" w:type="dxa"/>
              <w:tblCellMar>
                <w:top w:w="0" w:type="dxa"/>
                <w:left w:w="108" w:type="dxa"/>
                <w:bottom w:w="0" w:type="dxa"/>
                <w:right w:w="108" w:type="dxa"/>
              </w:tblCellMar>
              <w:tblLook w:noVBand="1" w:val="04a0" w:noHBand="0" w:lastColumn="0" w:firstColumn="1" w:lastRow="0" w:firstRow="1"/>
            </w:tblPr>
            <w:tblGrid>
              <w:gridCol w:w="1802"/>
              <w:gridCol w:w="1082"/>
              <w:gridCol w:w="1261"/>
              <w:gridCol w:w="1080"/>
              <w:gridCol w:w="1260"/>
              <w:gridCol w:w="1080"/>
              <w:gridCol w:w="1259"/>
            </w:tblGrid>
            <w:tr>
              <w:trPr>
                <w:trHeight w:val="300" w:hRule="atLeast"/>
              </w:trPr>
              <w:tc>
                <w:tcPr>
                  <w:tcW w:w="180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Site</w:t>
                  </w:r>
                </w:p>
              </w:tc>
              <w:tc>
                <w:tcPr>
                  <w:tcW w:w="2343" w:type="dxa"/>
                  <w:gridSpan w:val="2"/>
                  <w:tcBorders>
                    <w:top w:val="single" w:sz="4" w:space="0" w:color="000000"/>
                    <w:left w:val="single" w:sz="4" w:space="0" w:color="000000"/>
                    <w:bottom w:val="single" w:sz="4" w:space="0" w:color="000000"/>
                    <w:right w:val="single" w:sz="4" w:space="0" w:color="000000"/>
                  </w:tcBorders>
                  <w:shd w:color="000000" w:fill="DAEEF3"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SRO02</w:t>
                  </w:r>
                </w:p>
              </w:tc>
              <w:tc>
                <w:tcPr>
                  <w:tcW w:w="2340" w:type="dxa"/>
                  <w:gridSpan w:val="2"/>
                  <w:tcBorders>
                    <w:top w:val="single" w:sz="4" w:space="0" w:color="000000"/>
                    <w:left w:val="single" w:sz="4" w:space="0" w:color="000000"/>
                    <w:bottom w:val="single" w:sz="4" w:space="0" w:color="000000"/>
                    <w:right w:val="single" w:sz="4" w:space="0" w:color="000000"/>
                  </w:tcBorders>
                  <w:shd w:color="000000" w:fill="FDE9D9"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ROH2</w:t>
                  </w:r>
                </w:p>
              </w:tc>
              <w:tc>
                <w:tcPr>
                  <w:tcW w:w="2339" w:type="dxa"/>
                  <w:gridSpan w:val="2"/>
                  <w:tcBorders>
                    <w:top w:val="single" w:sz="4" w:space="0" w:color="000000"/>
                    <w:left w:val="single" w:sz="4" w:space="0" w:color="000000"/>
                    <w:bottom w:val="single" w:sz="4" w:space="0" w:color="000000"/>
                    <w:right w:val="single" w:sz="4" w:space="0" w:color="000000"/>
                  </w:tcBorders>
                  <w:shd w:color="000000" w:fill="E4DFEC"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PLT04</w:t>
                  </w:r>
                </w:p>
              </w:tc>
            </w:tr>
            <w:tr>
              <w:trPr>
                <w:trHeight w:val="300" w:hRule="atLeast"/>
              </w:trPr>
              <w:tc>
                <w:tcPr>
                  <w:tcW w:w="180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Wash Condition</w:t>
                  </w:r>
                </w:p>
              </w:tc>
              <w:tc>
                <w:tcPr>
                  <w:tcW w:w="1082" w:type="dxa"/>
                  <w:tcBorders>
                    <w:top w:val="single" w:sz="4" w:space="0" w:color="000000"/>
                    <w:left w:val="single" w:sz="4" w:space="0" w:color="000000"/>
                    <w:bottom w:val="single" w:sz="4" w:space="0" w:color="000000"/>
                    <w:right w:val="single" w:sz="4" w:space="0" w:color="000000"/>
                  </w:tcBorders>
                  <w:shd w:color="000000" w:fill="EBF1DE"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Washed</w:t>
                  </w:r>
                </w:p>
              </w:tc>
              <w:tc>
                <w:tcPr>
                  <w:tcW w:w="1261" w:type="dxa"/>
                  <w:tcBorders>
                    <w:top w:val="single" w:sz="4" w:space="0" w:color="000000"/>
                    <w:left w:val="single" w:sz="4" w:space="0" w:color="000000"/>
                    <w:bottom w:val="single" w:sz="4" w:space="0" w:color="000000"/>
                    <w:right w:val="single" w:sz="4" w:space="0" w:color="000000"/>
                  </w:tcBorders>
                  <w:shd w:color="000000" w:fill="C4D79B"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Unwashed</w:t>
                  </w:r>
                </w:p>
              </w:tc>
              <w:tc>
                <w:tcPr>
                  <w:tcW w:w="1080" w:type="dxa"/>
                  <w:tcBorders>
                    <w:top w:val="single" w:sz="4" w:space="0" w:color="000000"/>
                    <w:left w:val="single" w:sz="4" w:space="0" w:color="000000"/>
                    <w:bottom w:val="single" w:sz="4" w:space="0" w:color="000000"/>
                    <w:right w:val="single" w:sz="4" w:space="0" w:color="000000"/>
                  </w:tcBorders>
                  <w:shd w:color="000000" w:fill="EBF1DE"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Washed</w:t>
                  </w:r>
                </w:p>
              </w:tc>
              <w:tc>
                <w:tcPr>
                  <w:tcW w:w="1260" w:type="dxa"/>
                  <w:tcBorders>
                    <w:top w:val="single" w:sz="4" w:space="0" w:color="000000"/>
                    <w:left w:val="single" w:sz="4" w:space="0" w:color="000000"/>
                    <w:bottom w:val="single" w:sz="4" w:space="0" w:color="000000"/>
                    <w:right w:val="single" w:sz="4" w:space="0" w:color="000000"/>
                  </w:tcBorders>
                  <w:shd w:color="000000" w:fill="C4D79B"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Unwashed</w:t>
                  </w:r>
                </w:p>
              </w:tc>
              <w:tc>
                <w:tcPr>
                  <w:tcW w:w="1080" w:type="dxa"/>
                  <w:tcBorders>
                    <w:top w:val="single" w:sz="4" w:space="0" w:color="000000"/>
                    <w:left w:val="single" w:sz="4" w:space="0" w:color="000000"/>
                    <w:bottom w:val="single" w:sz="4" w:space="0" w:color="000000"/>
                    <w:right w:val="single" w:sz="4" w:space="0" w:color="000000"/>
                  </w:tcBorders>
                  <w:shd w:color="000000" w:fill="EBF1DE"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Washed</w:t>
                  </w:r>
                </w:p>
              </w:tc>
              <w:tc>
                <w:tcPr>
                  <w:tcW w:w="1259" w:type="dxa"/>
                  <w:tcBorders>
                    <w:top w:val="single" w:sz="4" w:space="0" w:color="000000"/>
                    <w:left w:val="single" w:sz="4" w:space="0" w:color="000000"/>
                    <w:bottom w:val="single" w:sz="4" w:space="0" w:color="000000"/>
                    <w:right w:val="single" w:sz="4" w:space="0" w:color="000000"/>
                  </w:tcBorders>
                  <w:shd w:color="000000" w:fill="C4D79B"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Unwashed</w:t>
                  </w:r>
                </w:p>
              </w:tc>
            </w:tr>
            <w:tr>
              <w:trPr>
                <w:trHeight w:val="300" w:hRule="atLeast"/>
              </w:trPr>
              <w:tc>
                <w:tcPr>
                  <w:tcW w:w="180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Replicate*</w:t>
                  </w:r>
                </w:p>
              </w:tc>
              <w:tc>
                <w:tcPr>
                  <w:tcW w:w="1082" w:type="dxa"/>
                  <w:tcBorders>
                    <w:top w:val="single" w:sz="4" w:space="0" w:color="000000"/>
                    <w:left w:val="single" w:sz="4" w:space="0" w:color="000000"/>
                    <w:bottom w:val="single" w:sz="4" w:space="0" w:color="000000"/>
                    <w:right w:val="single" w:sz="4" w:space="0" w:color="000000"/>
                  </w:tcBorders>
                  <w:shd w:color="auto" w:fill="F2F2F2" w:themeFill="background1" w:themeFillShade="f2"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c>
                <w:tcPr>
                  <w:tcW w:w="1261" w:type="dxa"/>
                  <w:tcBorders>
                    <w:top w:val="single" w:sz="4" w:space="0" w:color="000000"/>
                    <w:left w:val="single" w:sz="4" w:space="0" w:color="000000"/>
                    <w:bottom w:val="single" w:sz="4" w:space="0" w:color="000000"/>
                    <w:right w:val="single" w:sz="4" w:space="0" w:color="000000"/>
                  </w:tcBorders>
                  <w:shd w:color="auto" w:fill="F2F2F2" w:themeFill="background1" w:themeFillShade="f2"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c>
                <w:tcPr>
                  <w:tcW w:w="1080" w:type="dxa"/>
                  <w:tcBorders>
                    <w:top w:val="single" w:sz="4" w:space="0" w:color="000000"/>
                    <w:left w:val="single" w:sz="4" w:space="0" w:color="000000"/>
                    <w:bottom w:val="single" w:sz="4" w:space="0" w:color="000000"/>
                    <w:right w:val="single" w:sz="4" w:space="0" w:color="000000"/>
                  </w:tcBorders>
                  <w:shd w:color="auto" w:fill="F2F2F2" w:themeFill="background1" w:themeFillShade="f2"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c>
                <w:tcPr>
                  <w:tcW w:w="1260" w:type="dxa"/>
                  <w:tcBorders>
                    <w:top w:val="single" w:sz="4" w:space="0" w:color="000000"/>
                    <w:left w:val="single" w:sz="4" w:space="0" w:color="000000"/>
                    <w:bottom w:val="single" w:sz="4" w:space="0" w:color="000000"/>
                    <w:right w:val="single" w:sz="4" w:space="0" w:color="000000"/>
                  </w:tcBorders>
                  <w:shd w:color="auto" w:fill="F2F2F2" w:themeFill="background1" w:themeFillShade="f2"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c>
                <w:tcPr>
                  <w:tcW w:w="1080" w:type="dxa"/>
                  <w:tcBorders>
                    <w:top w:val="single" w:sz="4" w:space="0" w:color="000000"/>
                    <w:left w:val="single" w:sz="4" w:space="0" w:color="000000"/>
                    <w:bottom w:val="single" w:sz="4" w:space="0" w:color="000000"/>
                    <w:right w:val="single" w:sz="4" w:space="0" w:color="000000"/>
                  </w:tcBorders>
                  <w:shd w:color="auto" w:fill="F2F2F2" w:themeFill="background1" w:themeFillShade="f2"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c>
                <w:tcPr>
                  <w:tcW w:w="1259" w:type="dxa"/>
                  <w:tcBorders>
                    <w:top w:val="single" w:sz="4" w:space="0" w:color="000000"/>
                    <w:left w:val="single" w:sz="4" w:space="0" w:color="000000"/>
                    <w:bottom w:val="single" w:sz="4" w:space="0" w:color="000000"/>
                    <w:right w:val="single" w:sz="4" w:space="0" w:color="000000"/>
                  </w:tcBorders>
                  <w:shd w:color="auto" w:fill="F2F2F2" w:themeFill="background1" w:themeFillShade="f2"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r>
            <w:tr>
              <w:trPr>
                <w:trHeight w:val="300" w:hRule="atLeast"/>
              </w:trPr>
              <w:tc>
                <w:tcPr>
                  <w:tcW w:w="180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Barium</w:t>
                  </w:r>
                </w:p>
              </w:tc>
              <w:tc>
                <w:tcPr>
                  <w:tcW w:w="108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7.333</w:t>
                  </w:r>
                </w:p>
              </w:tc>
              <w:tc>
                <w:tcPr>
                  <w:tcW w:w="126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6.733</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2.7</w:t>
                  </w:r>
                </w:p>
              </w:tc>
              <w:tc>
                <w:tcPr>
                  <w:tcW w:w="12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2.566</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3.925</w:t>
                  </w:r>
                </w:p>
              </w:tc>
              <w:tc>
                <w:tcPr>
                  <w:tcW w:w="125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6.8</w:t>
                  </w:r>
                </w:p>
              </w:tc>
            </w:tr>
            <w:tr>
              <w:trPr>
                <w:trHeight w:val="300" w:hRule="atLeast"/>
              </w:trPr>
              <w:tc>
                <w:tcPr>
                  <w:tcW w:w="180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Copper</w:t>
                  </w:r>
                </w:p>
              </w:tc>
              <w:tc>
                <w:tcPr>
                  <w:tcW w:w="108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0.4467</w:t>
                  </w:r>
                </w:p>
              </w:tc>
              <w:tc>
                <w:tcPr>
                  <w:tcW w:w="126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0.81</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0.7567</w:t>
                  </w:r>
                </w:p>
              </w:tc>
              <w:tc>
                <w:tcPr>
                  <w:tcW w:w="12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0.87</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0.71</w:t>
                  </w:r>
                </w:p>
              </w:tc>
              <w:tc>
                <w:tcPr>
                  <w:tcW w:w="125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0.55</w:t>
                  </w:r>
                </w:p>
              </w:tc>
            </w:tr>
            <w:tr>
              <w:trPr>
                <w:trHeight w:val="300" w:hRule="atLeast"/>
              </w:trPr>
              <w:tc>
                <w:tcPr>
                  <w:tcW w:w="180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Molybdenum</w:t>
                  </w:r>
                </w:p>
              </w:tc>
              <w:tc>
                <w:tcPr>
                  <w:tcW w:w="108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0.6567</w:t>
                  </w:r>
                </w:p>
              </w:tc>
              <w:tc>
                <w:tcPr>
                  <w:tcW w:w="126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0.7467</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0.49</w:t>
                  </w:r>
                </w:p>
              </w:tc>
              <w:tc>
                <w:tcPr>
                  <w:tcW w:w="12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0.4767</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0.6975</w:t>
                  </w:r>
                </w:p>
              </w:tc>
              <w:tc>
                <w:tcPr>
                  <w:tcW w:w="125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0.6567</w:t>
                  </w:r>
                </w:p>
              </w:tc>
            </w:tr>
            <w:tr>
              <w:trPr>
                <w:trHeight w:val="300" w:hRule="atLeast"/>
              </w:trPr>
              <w:tc>
                <w:tcPr>
                  <w:tcW w:w="180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Nickel </w:t>
                  </w:r>
                </w:p>
              </w:tc>
              <w:tc>
                <w:tcPr>
                  <w:tcW w:w="108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w:t>
                  </w:r>
                </w:p>
              </w:tc>
              <w:tc>
                <w:tcPr>
                  <w:tcW w:w="126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0.4433</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w:t>
                  </w:r>
                </w:p>
              </w:tc>
              <w:tc>
                <w:tcPr>
                  <w:tcW w:w="12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w:t>
                  </w:r>
                </w:p>
              </w:tc>
              <w:tc>
                <w:tcPr>
                  <w:tcW w:w="125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w:t>
                  </w:r>
                </w:p>
              </w:tc>
            </w:tr>
            <w:tr>
              <w:trPr>
                <w:trHeight w:val="300" w:hRule="atLeast"/>
              </w:trPr>
              <w:tc>
                <w:tcPr>
                  <w:tcW w:w="180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Thallium</w:t>
                  </w:r>
                </w:p>
              </w:tc>
              <w:tc>
                <w:tcPr>
                  <w:tcW w:w="108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w:t>
                  </w:r>
                </w:p>
              </w:tc>
              <w:tc>
                <w:tcPr>
                  <w:tcW w:w="126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0.8167</w:t>
                  </w:r>
                </w:p>
              </w:tc>
              <w:tc>
                <w:tcPr>
                  <w:tcW w:w="12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1.09</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w:t>
                  </w:r>
                </w:p>
              </w:tc>
              <w:tc>
                <w:tcPr>
                  <w:tcW w:w="125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w:t>
                  </w:r>
                </w:p>
              </w:tc>
            </w:tr>
            <w:tr>
              <w:trPr>
                <w:trHeight w:val="300" w:hRule="atLeast"/>
              </w:trPr>
              <w:tc>
                <w:tcPr>
                  <w:tcW w:w="180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Zinc</w:t>
                  </w:r>
                </w:p>
              </w:tc>
              <w:tc>
                <w:tcPr>
                  <w:tcW w:w="108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6.5</w:t>
                  </w:r>
                </w:p>
              </w:tc>
              <w:tc>
                <w:tcPr>
                  <w:tcW w:w="126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11.1</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5</w:t>
                  </w:r>
                </w:p>
              </w:tc>
              <w:tc>
                <w:tcPr>
                  <w:tcW w:w="12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5.567</w:t>
                  </w:r>
                </w:p>
              </w:tc>
              <w:tc>
                <w:tcPr>
                  <w:tcW w:w="10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8.55</w:t>
                  </w:r>
                </w:p>
              </w:tc>
              <w:tc>
                <w:tcPr>
                  <w:tcW w:w="125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12.367</w:t>
                  </w:r>
                </w:p>
              </w:tc>
            </w:tr>
          </w:tbl>
          <w:p>
            <w:pPr>
              <w:pStyle w:val="Normal"/>
              <w:ind w:right="-1998"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 xml:space="preserve">*This table shows averages of the triplicate samples taken for each site and wash condition </w:t>
            </w:r>
          </w:p>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r>
          </w:p>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r>
          </w:p>
        </w:tc>
      </w:tr>
    </w:tbl>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t>Heavy Metals Summary – Plant Tissue (Page 2 of 2)</w:t>
      </w:r>
    </w:p>
    <w:p>
      <w:pPr>
        <w:pStyle w:val="Normal"/>
        <w:tabs>
          <w:tab w:val="clear" w:pos="720"/>
          <w:tab w:val="left" w:pos="0" w:leader="none"/>
        </w:tabs>
        <w:rPr/>
      </w:pPr>
      <w:r>
        <w:rPr/>
      </w:r>
    </w:p>
    <w:p>
      <w:pPr>
        <w:pStyle w:val="Normal"/>
        <w:tabs>
          <w:tab w:val="clear" w:pos="720"/>
          <w:tab w:val="left" w:pos="0" w:leader="none"/>
        </w:tabs>
        <w:rPr>
          <w:rFonts w:ascii="Times New Roman" w:hAnsi="Times New Roman" w:cs="Times New Roman"/>
          <w:sz w:val="24"/>
          <w:szCs w:val="24"/>
        </w:rPr>
      </w:pPr>
      <w:r>
        <w:rPr>
          <w:rFonts w:cs="Times New Roman" w:ascii="Times New Roman" w:hAnsi="Times New Roman"/>
          <w:sz w:val="24"/>
          <w:szCs w:val="24"/>
        </w:rPr>
        <w:t>Table 5 calculates an average nickel concentration for the one site where nickel was detected. Instead of using 0 for non-detections, the table shows estimated concentrations in grey. These were created by halving the detection limit for each sample (ND=DL/2).</w:t>
      </w:r>
    </w:p>
    <w:p>
      <w:pPr>
        <w:pStyle w:val="Normal"/>
        <w:tabs>
          <w:tab w:val="clear" w:pos="720"/>
          <w:tab w:val="left" w:pos="0" w:leader="none"/>
        </w:tabs>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Table 5: Heavy Metals Concentrations ND=DL/2 (mg/kg)</w:t>
      </w:r>
    </w:p>
    <w:tbl>
      <w:tblPr>
        <w:tblW w:w="8835" w:type="dxa"/>
        <w:jc w:val="left"/>
        <w:tblInd w:w="93" w:type="dxa"/>
        <w:tblCellMar>
          <w:top w:w="0" w:type="dxa"/>
          <w:left w:w="108" w:type="dxa"/>
          <w:bottom w:w="0" w:type="dxa"/>
          <w:right w:w="108" w:type="dxa"/>
        </w:tblCellMar>
        <w:tblLook w:noVBand="1" w:val="04a0" w:noHBand="0" w:lastColumn="0" w:firstColumn="1" w:lastRow="0" w:firstRow="1"/>
      </w:tblPr>
      <w:tblGrid>
        <w:gridCol w:w="1814"/>
        <w:gridCol w:w="991"/>
        <w:gridCol w:w="990"/>
        <w:gridCol w:w="990"/>
        <w:gridCol w:w="991"/>
        <w:gridCol w:w="989"/>
        <w:gridCol w:w="989"/>
        <w:gridCol w:w="2"/>
        <w:gridCol w:w="1"/>
        <w:gridCol w:w="1077"/>
      </w:tblGrid>
      <w:tr>
        <w:trPr>
          <w:trHeight w:val="300" w:hRule="atLeast"/>
        </w:trPr>
        <w:tc>
          <w:tcPr>
            <w:tcW w:w="1814"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Site</w:t>
            </w:r>
          </w:p>
        </w:tc>
        <w:tc>
          <w:tcPr>
            <w:tcW w:w="5940" w:type="dxa"/>
            <w:gridSpan w:val="6"/>
            <w:tcBorders>
              <w:top w:val="single" w:sz="4" w:space="0" w:color="000000"/>
              <w:bottom w:val="single" w:sz="4" w:space="0" w:color="000000"/>
            </w:tcBorders>
            <w:shd w:color="000000" w:fill="DAEEF3"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SRO02</w:t>
            </w:r>
          </w:p>
        </w:tc>
        <w:tc>
          <w:tcPr>
            <w:tcW w:w="1080" w:type="dxa"/>
            <w:gridSpan w:val="3"/>
            <w:tcBorders>
              <w:top w:val="single" w:sz="4" w:space="0" w:color="000000"/>
              <w:left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 </w:t>
            </w:r>
          </w:p>
        </w:tc>
      </w:tr>
      <w:tr>
        <w:trPr>
          <w:trHeight w:val="300" w:hRule="atLeast"/>
        </w:trPr>
        <w:tc>
          <w:tcPr>
            <w:tcW w:w="18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Wash Condition</w:t>
            </w:r>
          </w:p>
        </w:tc>
        <w:tc>
          <w:tcPr>
            <w:tcW w:w="2971" w:type="dxa"/>
            <w:gridSpan w:val="3"/>
            <w:tcBorders>
              <w:top w:val="single" w:sz="4" w:space="0" w:color="000000"/>
              <w:bottom w:val="single" w:sz="4" w:space="0" w:color="000000"/>
              <w:right w:val="single" w:sz="4" w:space="0" w:color="000000"/>
            </w:tcBorders>
            <w:shd w:color="000000" w:fill="EBF1DE"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Washed</w:t>
            </w:r>
          </w:p>
        </w:tc>
        <w:tc>
          <w:tcPr>
            <w:tcW w:w="2971" w:type="dxa"/>
            <w:gridSpan w:val="4"/>
            <w:tcBorders>
              <w:top w:val="single" w:sz="4" w:space="0" w:color="000000"/>
              <w:bottom w:val="single" w:sz="4" w:space="0" w:color="000000"/>
            </w:tcBorders>
            <w:shd w:color="000000" w:fill="C4D79B"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Unwashed</w:t>
            </w:r>
          </w:p>
        </w:tc>
        <w:tc>
          <w:tcPr>
            <w:tcW w:w="1078" w:type="dxa"/>
            <w:gridSpan w:val="2"/>
            <w:tcBorders>
              <w:left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 </w:t>
            </w:r>
          </w:p>
        </w:tc>
      </w:tr>
      <w:tr>
        <w:trPr>
          <w:trHeight w:val="300" w:hRule="atLeast"/>
        </w:trPr>
        <w:tc>
          <w:tcPr>
            <w:tcW w:w="18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Replicate</w:t>
            </w:r>
          </w:p>
        </w:tc>
        <w:tc>
          <w:tcPr>
            <w:tcW w:w="991" w:type="dxa"/>
            <w:tcBorders>
              <w:bottom w:val="single" w:sz="4" w:space="0" w:color="000000"/>
              <w:right w:val="single" w:sz="4" w:space="0" w:color="000000"/>
            </w:tcBorders>
            <w:shd w:color="000000" w:fill="F2F2F2"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1</w:t>
            </w:r>
          </w:p>
        </w:tc>
        <w:tc>
          <w:tcPr>
            <w:tcW w:w="990" w:type="dxa"/>
            <w:tcBorders>
              <w:bottom w:val="single" w:sz="4" w:space="0" w:color="000000"/>
              <w:right w:val="single" w:sz="4" w:space="0" w:color="000000"/>
            </w:tcBorders>
            <w:shd w:color="000000" w:fill="D9D9D9"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2</w:t>
            </w:r>
          </w:p>
        </w:tc>
        <w:tc>
          <w:tcPr>
            <w:tcW w:w="990" w:type="dxa"/>
            <w:tcBorders>
              <w:bottom w:val="single" w:sz="4" w:space="0" w:color="000000"/>
              <w:right w:val="single" w:sz="4" w:space="0" w:color="000000"/>
            </w:tcBorders>
            <w:shd w:color="000000" w:fill="BFBFBF"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3</w:t>
            </w:r>
          </w:p>
        </w:tc>
        <w:tc>
          <w:tcPr>
            <w:tcW w:w="991" w:type="dxa"/>
            <w:tcBorders>
              <w:bottom w:val="single" w:sz="4" w:space="0" w:color="000000"/>
              <w:right w:val="single" w:sz="4" w:space="0" w:color="000000"/>
            </w:tcBorders>
            <w:shd w:color="000000" w:fill="F2F2F2"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1</w:t>
            </w:r>
          </w:p>
        </w:tc>
        <w:tc>
          <w:tcPr>
            <w:tcW w:w="989" w:type="dxa"/>
            <w:tcBorders>
              <w:bottom w:val="single" w:sz="4" w:space="0" w:color="000000"/>
              <w:right w:val="single" w:sz="4" w:space="0" w:color="000000"/>
            </w:tcBorders>
            <w:shd w:color="000000" w:fill="D9D9D9"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2</w:t>
            </w:r>
          </w:p>
        </w:tc>
        <w:tc>
          <w:tcPr>
            <w:tcW w:w="992" w:type="dxa"/>
            <w:gridSpan w:val="3"/>
            <w:tcBorders>
              <w:bottom w:val="single" w:sz="4" w:space="0" w:color="000000"/>
            </w:tcBorders>
            <w:shd w:color="000000" w:fill="BFBFBF"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3</w:t>
            </w:r>
          </w:p>
        </w:tc>
        <w:tc>
          <w:tcPr>
            <w:tcW w:w="1077"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r>
      <w:tr>
        <w:trPr>
          <w:trHeight w:val="360" w:hRule="atLeast"/>
        </w:trPr>
        <w:tc>
          <w:tcPr>
            <w:tcW w:w="1814"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Nickel </w:t>
            </w:r>
          </w:p>
        </w:tc>
        <w:tc>
          <w:tcPr>
            <w:tcW w:w="991" w:type="dxa"/>
            <w:tcBorders>
              <w:top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808080"/>
                <w:sz w:val="24"/>
                <w:szCs w:val="24"/>
              </w:rPr>
            </w:pPr>
            <w:r>
              <w:rPr>
                <w:rFonts w:eastAsia="Times New Roman" w:cs="Times New Roman" w:ascii="Times New Roman" w:hAnsi="Times New Roman"/>
                <w:color w:val="808080"/>
                <w:sz w:val="24"/>
                <w:szCs w:val="24"/>
              </w:rPr>
              <w:t>0.16*</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808080"/>
                <w:sz w:val="24"/>
                <w:szCs w:val="24"/>
              </w:rPr>
            </w:pPr>
            <w:r>
              <w:rPr>
                <w:rFonts w:eastAsia="Times New Roman" w:cs="Times New Roman" w:ascii="Times New Roman" w:hAnsi="Times New Roman"/>
                <w:color w:val="808080"/>
                <w:sz w:val="24"/>
                <w:szCs w:val="24"/>
              </w:rPr>
              <w:t>0.2</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808080"/>
                <w:sz w:val="24"/>
                <w:szCs w:val="24"/>
              </w:rPr>
            </w:pPr>
            <w:r>
              <w:rPr>
                <w:rFonts w:eastAsia="Times New Roman" w:cs="Times New Roman" w:ascii="Times New Roman" w:hAnsi="Times New Roman"/>
                <w:color w:val="808080"/>
                <w:sz w:val="24"/>
                <w:szCs w:val="24"/>
              </w:rPr>
              <w:t>0.195</w:t>
            </w:r>
          </w:p>
        </w:tc>
        <w:tc>
          <w:tcPr>
            <w:tcW w:w="991" w:type="dxa"/>
            <w:tcBorders>
              <w:top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0.41**</w:t>
            </w:r>
          </w:p>
        </w:tc>
        <w:tc>
          <w:tcPr>
            <w:tcW w:w="989" w:type="dxa"/>
            <w:tcBorders>
              <w:top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808080"/>
                <w:sz w:val="24"/>
                <w:szCs w:val="24"/>
              </w:rPr>
            </w:pPr>
            <w:r>
              <w:rPr>
                <w:rFonts w:eastAsia="Times New Roman" w:cs="Times New Roman" w:ascii="Times New Roman" w:hAnsi="Times New Roman"/>
                <w:color w:val="808080"/>
                <w:sz w:val="24"/>
                <w:szCs w:val="24"/>
              </w:rPr>
              <w:t>0.215</w:t>
            </w:r>
          </w:p>
        </w:tc>
        <w:tc>
          <w:tcPr>
            <w:tcW w:w="992" w:type="dxa"/>
            <w:gridSpan w:val="3"/>
            <w:tcBorders>
              <w:top w:val="single" w:sz="4" w:space="0" w:color="000000"/>
              <w:bottom w:val="single" w:sz="4" w:space="0" w:color="000000"/>
            </w:tcBorders>
            <w:shd w:color="auto" w:fill="auto" w:val="clear"/>
            <w:vAlign w:val="bottom"/>
          </w:tcPr>
          <w:p>
            <w:pPr>
              <w:pStyle w:val="Normal"/>
              <w:jc w:val="center"/>
              <w:rPr>
                <w:rFonts w:ascii="Times New Roman" w:hAnsi="Times New Roman" w:eastAsia="Times New Roman" w:cs="Times New Roman"/>
                <w:color w:val="808080"/>
                <w:sz w:val="24"/>
                <w:szCs w:val="24"/>
              </w:rPr>
            </w:pPr>
            <w:r>
              <w:rPr>
                <w:rFonts w:eastAsia="Times New Roman" w:cs="Times New Roman" w:ascii="Times New Roman" w:hAnsi="Times New Roman"/>
                <w:color w:val="808080"/>
                <w:sz w:val="24"/>
                <w:szCs w:val="24"/>
              </w:rPr>
              <w:t>0.245</w:t>
            </w:r>
          </w:p>
        </w:tc>
        <w:tc>
          <w:tcPr>
            <w:tcW w:w="10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0.2375</w:t>
            </w:r>
          </w:p>
        </w:tc>
      </w:tr>
    </w:tbl>
    <w:p>
      <w:pPr>
        <w:pStyle w:val="Normal"/>
        <w:tabs>
          <w:tab w:val="clear" w:pos="720"/>
          <w:tab w:val="left" w:pos="0" w:leader="none"/>
        </w:tabs>
        <w:rPr>
          <w:rFonts w:ascii="Times New Roman" w:hAnsi="Times New Roman" w:cs="Times New Roman"/>
          <w:sz w:val="24"/>
          <w:szCs w:val="24"/>
        </w:rPr>
      </w:pPr>
      <w:r>
        <w:rPr>
          <w:rFonts w:cs="Times New Roman" w:ascii="Times New Roman" w:hAnsi="Times New Roman"/>
          <w:sz w:val="24"/>
          <w:szCs w:val="24"/>
        </w:rPr>
        <w:t>*Numbers in grey represent DL/2    **Lab measurements</w:t>
      </w:r>
    </w:p>
    <w:p>
      <w:pPr>
        <w:pStyle w:val="Normal"/>
        <w:tabs>
          <w:tab w:val="clear" w:pos="720"/>
          <w:tab w:val="left" w:pos="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0" w:leader="none"/>
        </w:tabs>
        <w:rPr>
          <w:rFonts w:ascii="Times New Roman" w:hAnsi="Times New Roman" w:cs="Times New Roman"/>
          <w:sz w:val="24"/>
          <w:szCs w:val="24"/>
        </w:rPr>
      </w:pPr>
      <w:r>
        <w:rPr>
          <w:rFonts w:cs="Times New Roman" w:ascii="Times New Roman" w:hAnsi="Times New Roman"/>
          <w:sz w:val="24"/>
          <w:szCs w:val="24"/>
        </w:rPr>
        <w:t xml:space="preserve">Table 6 compares the Proposition 65 “No Significant Risk Level” to the total daily Nickel intake that would occur if a person were to eat 21 grams of green leafy vegetables per day, with all produce containing </w:t>
      </w:r>
      <w:r>
        <w:rPr>
          <w:rFonts w:cs="Times New Roman" w:ascii="Times New Roman" w:hAnsi="Times New Roman"/>
          <w:b/>
          <w:sz w:val="24"/>
          <w:szCs w:val="24"/>
        </w:rPr>
        <w:t>0.2375 mg/kg</w:t>
      </w:r>
      <w:r>
        <w:rPr>
          <w:rFonts w:cs="Times New Roman" w:ascii="Times New Roman" w:hAnsi="Times New Roman"/>
          <w:sz w:val="24"/>
          <w:szCs w:val="24"/>
        </w:rPr>
        <w:t xml:space="preserve"> of Nickel.</w:t>
      </w:r>
    </w:p>
    <w:p>
      <w:pPr>
        <w:pStyle w:val="Normal"/>
        <w:tabs>
          <w:tab w:val="clear" w:pos="720"/>
          <w:tab w:val="left" w:pos="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0" w:leader="none"/>
        </w:tabs>
        <w:rPr>
          <w:rFonts w:ascii="Times New Roman" w:hAnsi="Times New Roman" w:cs="Times New Roman"/>
          <w:sz w:val="24"/>
          <w:szCs w:val="24"/>
        </w:rPr>
      </w:pPr>
      <w:r>
        <mc:AlternateContent>
          <mc:Choice Requires="wps">
            <w:drawing>
              <wp:anchor behindDoc="0" distT="0" distB="0" distL="114300" distR="114300" simplePos="0" locked="0" layoutInCell="1" allowOverlap="1" relativeHeight="18">
                <wp:simplePos x="0" y="0"/>
                <wp:positionH relativeFrom="column">
                  <wp:posOffset>-68580</wp:posOffset>
                </wp:positionH>
                <wp:positionV relativeFrom="paragraph">
                  <wp:posOffset>635</wp:posOffset>
                </wp:positionV>
                <wp:extent cx="2753360" cy="1809750"/>
                <wp:effectExtent l="0" t="0" r="0" b="0"/>
                <wp:wrapSquare wrapText="bothSides"/>
                <wp:docPr id="26" name="Frame14"/>
                <a:graphic xmlns:a="http://schemas.openxmlformats.org/drawingml/2006/main">
                  <a:graphicData uri="http://schemas.microsoft.com/office/word/2010/wordprocessingShape">
                    <wps:wsp>
                      <wps:cNvSpPr/>
                      <wps:spPr>
                        <a:xfrm>
                          <a:off x="0" y="0"/>
                          <a:ext cx="2752560" cy="1809000"/>
                        </a:xfrm>
                        <a:prstGeom prst="rect">
                          <a:avLst/>
                        </a:prstGeom>
                        <a:noFill/>
                        <a:ln>
                          <a:noFill/>
                        </a:ln>
                      </wps:spPr>
                      <wps:style>
                        <a:lnRef idx="0"/>
                        <a:fillRef idx="0"/>
                        <a:effectRef idx="0"/>
                        <a:fontRef idx="minor"/>
                      </wps:style>
                      <wps:txbx>
                        <w:txbxContent>
                          <w:tbl>
                            <w:tblPr>
                              <w:tblW w:w="4335" w:type="dxa"/>
                              <w:jc w:val="left"/>
                              <w:tblInd w:w="108" w:type="dxa"/>
                              <w:tblCellMar>
                                <w:top w:w="0" w:type="dxa"/>
                                <w:left w:w="108" w:type="dxa"/>
                                <w:bottom w:w="0" w:type="dxa"/>
                                <w:right w:w="108" w:type="dxa"/>
                              </w:tblCellMar>
                              <w:tblLook w:noVBand="1" w:val="04a0" w:noHBand="0" w:lastColumn="0" w:firstColumn="1" w:lastRow="0" w:firstRow="1"/>
                            </w:tblPr>
                            <w:tblGrid>
                              <w:gridCol w:w="2355"/>
                              <w:gridCol w:w="965"/>
                              <w:gridCol w:w="25"/>
                              <w:gridCol w:w="990"/>
                            </w:tblGrid>
                            <w:tr>
                              <w:trPr>
                                <w:trHeight w:val="400" w:hRule="atLeast"/>
                              </w:trPr>
                              <w:tc>
                                <w:tcPr>
                                  <w:tcW w:w="3320" w:type="dxa"/>
                                  <w:gridSpan w:val="2"/>
                                  <w:tcBorders/>
                                  <w:shd w:color="auto" w:fill="auto" w:val="clear"/>
                                  <w:vAlign w:val="bottom"/>
                                </w:tcPr>
                                <w:p>
                                  <w:pPr>
                                    <w:pStyle w:val="Normal"/>
                                    <w:rPr/>
                                  </w:pPr>
                                  <w:r>
                                    <w:rPr>
                                      <w:rFonts w:eastAsia="Times New Roman" w:cs="Times New Roman" w:ascii="Times New Roman" w:hAnsi="Times New Roman"/>
                                      <w:b/>
                                      <w:bCs/>
                                      <w:color w:val="000000"/>
                                      <w:sz w:val="24"/>
                                      <w:szCs w:val="24"/>
                                    </w:rPr>
                                    <w:t>Table 6: Proposition 65 Comparison for Nickel</w:t>
                                  </w:r>
                                </w:p>
                              </w:tc>
                              <w:tc>
                                <w:tcPr>
                                  <w:tcW w:w="1015" w:type="dxa"/>
                                  <w:gridSpan w:val="2"/>
                                  <w:tcBorders/>
                                  <w:shd w:color="auto" w:fill="auto"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r>
                                </w:p>
                              </w:tc>
                            </w:tr>
                            <w:tr>
                              <w:trPr>
                                <w:trHeight w:val="400" w:hRule="atLeast"/>
                              </w:trPr>
                              <w:tc>
                                <w:tcPr>
                                  <w:tcW w:w="235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b/>
                                      <w:bCs/>
                                      <w:color w:val="000000"/>
                                      <w:sz w:val="24"/>
                                      <w:szCs w:val="24"/>
                                    </w:rPr>
                                    <w:t> </w:t>
                                  </w:r>
                                </w:p>
                              </w:tc>
                              <w:tc>
                                <w:tcPr>
                                  <w:tcW w:w="1980" w:type="dxa"/>
                                  <w:gridSpan w:val="3"/>
                                  <w:tcBorders>
                                    <w:top w:val="single" w:sz="4" w:space="0" w:color="000000"/>
                                    <w:bottom w:val="single" w:sz="4" w:space="0" w:color="000000"/>
                                    <w:right w:val="single" w:sz="4" w:space="0" w:color="000000"/>
                                  </w:tcBorders>
                                  <w:shd w:color="auto" w:fill="auto" w:val="clear"/>
                                  <w:vAlign w:val="bottom"/>
                                </w:tcPr>
                                <w:p>
                                  <w:pPr>
                                    <w:pStyle w:val="Normal"/>
                                    <w:jc w:val="center"/>
                                    <w:rPr/>
                                  </w:pPr>
                                  <w:r>
                                    <w:rPr>
                                      <w:rFonts w:eastAsia="Times New Roman" w:cs="Times New Roman" w:ascii="Times New Roman" w:hAnsi="Times New Roman"/>
                                      <w:color w:val="000000"/>
                                      <w:sz w:val="24"/>
                                      <w:szCs w:val="24"/>
                                    </w:rPr>
                                    <w:t>Nickel</w:t>
                                  </w:r>
                                </w:p>
                              </w:tc>
                            </w:tr>
                            <w:tr>
                              <w:trPr>
                                <w:trHeight w:val="300" w:hRule="atLeast"/>
                              </w:trPr>
                              <w:tc>
                                <w:tcPr>
                                  <w:tcW w:w="2355" w:type="dxa"/>
                                  <w:tcBorders>
                                    <w:left w:val="single" w:sz="4" w:space="0" w:color="000000"/>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color w:val="000000"/>
                                      <w:sz w:val="24"/>
                                      <w:szCs w:val="24"/>
                                    </w:rPr>
                                    <w:t> </w:t>
                                  </w:r>
                                </w:p>
                              </w:tc>
                              <w:tc>
                                <w:tcPr>
                                  <w:tcW w:w="990" w:type="dxa"/>
                                  <w:gridSpan w:val="2"/>
                                  <w:tcBorders>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color w:val="000000"/>
                                      <w:sz w:val="24"/>
                                      <w:szCs w:val="24"/>
                                    </w:rPr>
                                    <w:t>NSRL</w:t>
                                  </w:r>
                                </w:p>
                              </w:tc>
                              <w:tc>
                                <w:tcPr>
                                  <w:tcW w:w="990" w:type="dxa"/>
                                  <w:tcBorders>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color w:val="000000"/>
                                      <w:sz w:val="24"/>
                                      <w:szCs w:val="24"/>
                                    </w:rPr>
                                    <w:t>Daily Intake</w:t>
                                  </w:r>
                                </w:p>
                              </w:tc>
                            </w:tr>
                            <w:tr>
                              <w:trPr>
                                <w:trHeight w:val="992" w:hRule="atLeast"/>
                              </w:trPr>
                              <w:tc>
                                <w:tcPr>
                                  <w:tcW w:w="2355" w:type="dxa"/>
                                  <w:tcBorders>
                                    <w:left w:val="single" w:sz="4" w:space="0" w:color="000000"/>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color w:val="000000"/>
                                      <w:sz w:val="24"/>
                                      <w:szCs w:val="24"/>
                                    </w:rPr>
                                    <w:t>Total Daily Nickel Intake ND=DL/2 (ug/day)</w:t>
                                  </w:r>
                                </w:p>
                              </w:tc>
                              <w:tc>
                                <w:tcPr>
                                  <w:tcW w:w="990" w:type="dxa"/>
                                  <w:gridSpan w:val="2"/>
                                  <w:tcBorders>
                                    <w:bottom w:val="single" w:sz="4" w:space="0" w:color="000000"/>
                                    <w:right w:val="single" w:sz="4" w:space="0" w:color="000000"/>
                                  </w:tcBorders>
                                  <w:shd w:color="auto" w:fill="auto" w:val="clear"/>
                                  <w:vAlign w:val="bottom"/>
                                </w:tcPr>
                                <w:p>
                                  <w:pPr>
                                    <w:pStyle w:val="Normal"/>
                                    <w:jc w:val="right"/>
                                    <w:rPr/>
                                  </w:pPr>
                                  <w:r>
                                    <w:rPr>
                                      <w:rFonts w:eastAsia="Times New Roman" w:cs="Times New Roman" w:ascii="Times New Roman" w:hAnsi="Times New Roman"/>
                                      <w:bCs/>
                                      <w:sz w:val="24"/>
                                      <w:szCs w:val="24"/>
                                    </w:rPr>
                                    <w:t>0.8</w:t>
                                  </w:r>
                                </w:p>
                              </w:tc>
                              <w:tc>
                                <w:tcPr>
                                  <w:tcW w:w="990" w:type="dxa"/>
                                  <w:tcBorders>
                                    <w:bottom w:val="single" w:sz="4" w:space="0" w:color="000000"/>
                                    <w:right w:val="single" w:sz="4" w:space="0" w:color="000000"/>
                                  </w:tcBorders>
                                  <w:shd w:color="auto" w:fill="auto" w:val="clear"/>
                                  <w:vAlign w:val="bottom"/>
                                </w:tcPr>
                                <w:p>
                                  <w:pPr>
                                    <w:pStyle w:val="Normal"/>
                                    <w:jc w:val="right"/>
                                    <w:rPr/>
                                  </w:pPr>
                                  <w:r>
                                    <w:rPr>
                                      <w:rFonts w:eastAsia="Times New Roman" w:cs="Times New Roman" w:ascii="Times New Roman" w:hAnsi="Times New Roman"/>
                                      <w:bCs/>
                                      <w:sz w:val="24"/>
                                      <w:szCs w:val="24"/>
                                    </w:rPr>
                                    <w:t>4.9875</w:t>
                                  </w:r>
                                </w:p>
                              </w:tc>
                            </w:tr>
                          </w:tbl>
                          <w:p>
                            <w:pPr>
                              <w:pStyle w:val="FrameContents"/>
                              <w:rPr/>
                            </w:pPr>
                            <w:r>
                              <w:rPr/>
                            </w:r>
                          </w:p>
                        </w:txbxContent>
                      </wps:txbx>
                      <wps:bodyPr lIns="0" rIns="0" tIns="0" bIns="0">
                        <a:spAutoFit/>
                      </wps:bodyPr>
                    </wps:wsp>
                  </a:graphicData>
                </a:graphic>
              </wp:anchor>
            </w:drawing>
          </mc:Choice>
          <mc:Fallback>
            <w:pict>
              <v:rect id="shape_0" ID="Frame14" stroked="f" style="position:absolute;margin-left:-5.4pt;margin-top:0.05pt;width:216.7pt;height:142.4pt">
                <w10:wrap type="none"/>
                <v:fill o:detectmouseclick="t" on="false"/>
                <v:stroke color="#3465a4" joinstyle="round" endcap="flat"/>
                <v:textbox>
                  <w:txbxContent>
                    <w:tbl>
                      <w:tblPr>
                        <w:tblW w:w="4335" w:type="dxa"/>
                        <w:jc w:val="left"/>
                        <w:tblInd w:w="108" w:type="dxa"/>
                        <w:tblCellMar>
                          <w:top w:w="0" w:type="dxa"/>
                          <w:left w:w="108" w:type="dxa"/>
                          <w:bottom w:w="0" w:type="dxa"/>
                          <w:right w:w="108" w:type="dxa"/>
                        </w:tblCellMar>
                        <w:tblLook w:noVBand="1" w:val="04a0" w:noHBand="0" w:lastColumn="0" w:firstColumn="1" w:lastRow="0" w:firstRow="1"/>
                      </w:tblPr>
                      <w:tblGrid>
                        <w:gridCol w:w="2355"/>
                        <w:gridCol w:w="965"/>
                        <w:gridCol w:w="25"/>
                        <w:gridCol w:w="990"/>
                      </w:tblGrid>
                      <w:tr>
                        <w:trPr>
                          <w:trHeight w:val="400" w:hRule="atLeast"/>
                        </w:trPr>
                        <w:tc>
                          <w:tcPr>
                            <w:tcW w:w="3320" w:type="dxa"/>
                            <w:gridSpan w:val="2"/>
                            <w:tcBorders/>
                            <w:shd w:color="auto" w:fill="auto" w:val="clear"/>
                            <w:vAlign w:val="bottom"/>
                          </w:tcPr>
                          <w:p>
                            <w:pPr>
                              <w:pStyle w:val="Normal"/>
                              <w:rPr/>
                            </w:pPr>
                            <w:r>
                              <w:rPr>
                                <w:rFonts w:eastAsia="Times New Roman" w:cs="Times New Roman" w:ascii="Times New Roman" w:hAnsi="Times New Roman"/>
                                <w:b/>
                                <w:bCs/>
                                <w:color w:val="000000"/>
                                <w:sz w:val="24"/>
                                <w:szCs w:val="24"/>
                              </w:rPr>
                              <w:t>Table 6: Proposition 65 Comparison for Nickel</w:t>
                            </w:r>
                          </w:p>
                        </w:tc>
                        <w:tc>
                          <w:tcPr>
                            <w:tcW w:w="1015" w:type="dxa"/>
                            <w:gridSpan w:val="2"/>
                            <w:tcBorders/>
                            <w:shd w:color="auto" w:fill="auto"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r>
                          </w:p>
                        </w:tc>
                      </w:tr>
                      <w:tr>
                        <w:trPr>
                          <w:trHeight w:val="400" w:hRule="atLeast"/>
                        </w:trPr>
                        <w:tc>
                          <w:tcPr>
                            <w:tcW w:w="235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b/>
                                <w:bCs/>
                                <w:color w:val="000000"/>
                                <w:sz w:val="24"/>
                                <w:szCs w:val="24"/>
                              </w:rPr>
                              <w:t> </w:t>
                            </w:r>
                          </w:p>
                        </w:tc>
                        <w:tc>
                          <w:tcPr>
                            <w:tcW w:w="1980" w:type="dxa"/>
                            <w:gridSpan w:val="3"/>
                            <w:tcBorders>
                              <w:top w:val="single" w:sz="4" w:space="0" w:color="000000"/>
                              <w:bottom w:val="single" w:sz="4" w:space="0" w:color="000000"/>
                              <w:right w:val="single" w:sz="4" w:space="0" w:color="000000"/>
                            </w:tcBorders>
                            <w:shd w:color="auto" w:fill="auto" w:val="clear"/>
                            <w:vAlign w:val="bottom"/>
                          </w:tcPr>
                          <w:p>
                            <w:pPr>
                              <w:pStyle w:val="Normal"/>
                              <w:jc w:val="center"/>
                              <w:rPr/>
                            </w:pPr>
                            <w:r>
                              <w:rPr>
                                <w:rFonts w:eastAsia="Times New Roman" w:cs="Times New Roman" w:ascii="Times New Roman" w:hAnsi="Times New Roman"/>
                                <w:color w:val="000000"/>
                                <w:sz w:val="24"/>
                                <w:szCs w:val="24"/>
                              </w:rPr>
                              <w:t>Nickel</w:t>
                            </w:r>
                          </w:p>
                        </w:tc>
                      </w:tr>
                      <w:tr>
                        <w:trPr>
                          <w:trHeight w:val="300" w:hRule="atLeast"/>
                        </w:trPr>
                        <w:tc>
                          <w:tcPr>
                            <w:tcW w:w="2355" w:type="dxa"/>
                            <w:tcBorders>
                              <w:left w:val="single" w:sz="4" w:space="0" w:color="000000"/>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color w:val="000000"/>
                                <w:sz w:val="24"/>
                                <w:szCs w:val="24"/>
                              </w:rPr>
                              <w:t> </w:t>
                            </w:r>
                          </w:p>
                        </w:tc>
                        <w:tc>
                          <w:tcPr>
                            <w:tcW w:w="990" w:type="dxa"/>
                            <w:gridSpan w:val="2"/>
                            <w:tcBorders>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color w:val="000000"/>
                                <w:sz w:val="24"/>
                                <w:szCs w:val="24"/>
                              </w:rPr>
                              <w:t>NSRL</w:t>
                            </w:r>
                          </w:p>
                        </w:tc>
                        <w:tc>
                          <w:tcPr>
                            <w:tcW w:w="990" w:type="dxa"/>
                            <w:tcBorders>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color w:val="000000"/>
                                <w:sz w:val="24"/>
                                <w:szCs w:val="24"/>
                              </w:rPr>
                              <w:t>Daily Intake</w:t>
                            </w:r>
                          </w:p>
                        </w:tc>
                      </w:tr>
                      <w:tr>
                        <w:trPr>
                          <w:trHeight w:val="992" w:hRule="atLeast"/>
                        </w:trPr>
                        <w:tc>
                          <w:tcPr>
                            <w:tcW w:w="2355" w:type="dxa"/>
                            <w:tcBorders>
                              <w:left w:val="single" w:sz="4" w:space="0" w:color="000000"/>
                              <w:bottom w:val="single" w:sz="4" w:space="0" w:color="000000"/>
                              <w:right w:val="single" w:sz="4" w:space="0" w:color="000000"/>
                            </w:tcBorders>
                            <w:shd w:color="auto" w:fill="auto" w:val="clear"/>
                            <w:vAlign w:val="bottom"/>
                          </w:tcPr>
                          <w:p>
                            <w:pPr>
                              <w:pStyle w:val="Normal"/>
                              <w:rPr/>
                            </w:pPr>
                            <w:r>
                              <w:rPr>
                                <w:rFonts w:eastAsia="Times New Roman" w:cs="Times New Roman" w:ascii="Times New Roman" w:hAnsi="Times New Roman"/>
                                <w:color w:val="000000"/>
                                <w:sz w:val="24"/>
                                <w:szCs w:val="24"/>
                              </w:rPr>
                              <w:t>Total Daily Nickel Intake ND=DL/2 (ug/day)</w:t>
                            </w:r>
                          </w:p>
                        </w:tc>
                        <w:tc>
                          <w:tcPr>
                            <w:tcW w:w="990" w:type="dxa"/>
                            <w:gridSpan w:val="2"/>
                            <w:tcBorders>
                              <w:bottom w:val="single" w:sz="4" w:space="0" w:color="000000"/>
                              <w:right w:val="single" w:sz="4" w:space="0" w:color="000000"/>
                            </w:tcBorders>
                            <w:shd w:color="auto" w:fill="auto" w:val="clear"/>
                            <w:vAlign w:val="bottom"/>
                          </w:tcPr>
                          <w:p>
                            <w:pPr>
                              <w:pStyle w:val="Normal"/>
                              <w:jc w:val="right"/>
                              <w:rPr/>
                            </w:pPr>
                            <w:r>
                              <w:rPr>
                                <w:rFonts w:eastAsia="Times New Roman" w:cs="Times New Roman" w:ascii="Times New Roman" w:hAnsi="Times New Roman"/>
                                <w:bCs/>
                                <w:sz w:val="24"/>
                                <w:szCs w:val="24"/>
                              </w:rPr>
                              <w:t>0.8</w:t>
                            </w:r>
                          </w:p>
                        </w:tc>
                        <w:tc>
                          <w:tcPr>
                            <w:tcW w:w="990" w:type="dxa"/>
                            <w:tcBorders>
                              <w:bottom w:val="single" w:sz="4" w:space="0" w:color="000000"/>
                              <w:right w:val="single" w:sz="4" w:space="0" w:color="000000"/>
                            </w:tcBorders>
                            <w:shd w:color="auto" w:fill="auto" w:val="clear"/>
                            <w:vAlign w:val="bottom"/>
                          </w:tcPr>
                          <w:p>
                            <w:pPr>
                              <w:pStyle w:val="Normal"/>
                              <w:jc w:val="right"/>
                              <w:rPr/>
                            </w:pPr>
                            <w:r>
                              <w:rPr>
                                <w:rFonts w:eastAsia="Times New Roman" w:cs="Times New Roman" w:ascii="Times New Roman" w:hAnsi="Times New Roman"/>
                                <w:bCs/>
                                <w:sz w:val="24"/>
                                <w:szCs w:val="24"/>
                              </w:rPr>
                              <w:t>4.9875</w:t>
                            </w:r>
                          </w:p>
                        </w:tc>
                      </w:tr>
                    </w:tbl>
                    <w:p>
                      <w:pPr>
                        <w:pStyle w:val="FrameContents"/>
                        <w:rPr/>
                      </w:pPr>
                      <w:r>
                        <w:rPr/>
                      </w:r>
                    </w:p>
                  </w:txbxContent>
                </v:textbox>
              </v:rect>
            </w:pict>
          </mc:Fallback>
        </mc:AlternateContent>
      </w:r>
      <w:r>
        <w:rPr/>
        <w:drawing>
          <wp:inline distT="0" distB="0" distL="0" distR="0">
            <wp:extent cx="2755900" cy="2743200"/>
            <wp:effectExtent l="0" t="0" r="0" b="0"/>
            <wp:docPr id="28"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rPr>
          <w:rFonts w:cs="Times New Roman" w:ascii="Times New Roman" w:hAnsi="Times New Roman"/>
          <w:sz w:val="24"/>
          <w:szCs w:val="24"/>
        </w:rPr>
        <w:b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jc w:val="center"/>
        <w:rPr>
          <w:rFonts w:ascii="Avenir Medium" w:hAnsi="Avenir Medium" w:eastAsia="Times New Roman" w:cs="Times New Roman"/>
          <w:b/>
          <w:b/>
          <w:bCs/>
          <w:color w:val="000000"/>
        </w:rPr>
      </w:pPr>
      <w:r>
        <w:rPr>
          <w:rFonts w:eastAsia="Times New Roman" w:cs="Times New Roman" w:ascii="Abadi MT Condensed Light" w:hAnsi="Abadi MT Condensed Light"/>
          <w:b/>
          <w:color w:val="365F91" w:themeColor="accent1" w:themeShade="bf"/>
          <w:sz w:val="40"/>
          <w:szCs w:val="40"/>
        </w:rPr>
        <w:t>RESULTS: SOIL</w: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t xml:space="preserve">Polychlorinated Biphenyls (PCBs) Summary – Soil </w: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mc:AlternateContent>
          <mc:Choice Requires="wps">
            <w:drawing>
              <wp:anchor behindDoc="0" distT="0" distB="0" distL="114300" distR="114300" simplePos="0" locked="0" layoutInCell="1" allowOverlap="1" relativeHeight="6" wp14:anchorId="269A40FA">
                <wp:simplePos x="0" y="0"/>
                <wp:positionH relativeFrom="column">
                  <wp:posOffset>-68580</wp:posOffset>
                </wp:positionH>
                <wp:positionV relativeFrom="paragraph">
                  <wp:posOffset>220980</wp:posOffset>
                </wp:positionV>
                <wp:extent cx="5784850" cy="942975"/>
                <wp:effectExtent l="0" t="0" r="33020" b="23495"/>
                <wp:wrapSquare wrapText="bothSides"/>
                <wp:docPr id="29" name="Text Box 2"/>
                <a:graphic xmlns:a="http://schemas.openxmlformats.org/drawingml/2006/main">
                  <a:graphicData uri="http://schemas.microsoft.com/office/word/2010/wordprocessingShape">
                    <wps:wsp>
                      <wps:cNvSpPr/>
                      <wps:spPr>
                        <a:xfrm>
                          <a:off x="0" y="0"/>
                          <a:ext cx="5784120" cy="942480"/>
                        </a:xfrm>
                        <a:prstGeom prst="rect">
                          <a:avLst/>
                        </a:prstGeom>
                        <a:solidFill>
                          <a:srgbClr val="dce6f2"/>
                        </a:solidFill>
                        <a:ln>
                          <a:noFill/>
                        </a:ln>
                      </wps:spPr>
                      <wps:style>
                        <a:lnRef idx="0">
                          <a:schemeClr val="accent1"/>
                        </a:lnRef>
                        <a:fillRef idx="0">
                          <a:schemeClr val="accent1"/>
                        </a:fillRef>
                        <a:effectRef idx="0">
                          <a:schemeClr val="accent1"/>
                        </a:effectRef>
                        <a:fontRef idx="minor"/>
                      </wps:style>
                      <wps:txbx>
                        <w:txbxContent>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Interpretation</w:t>
                            </w:r>
                            <w:r>
                              <w:rPr>
                                <w:rFonts w:ascii="Times New Roman" w:hAnsi="Times New Roman"/>
                                <w:color w:val="000000"/>
                                <w:sz w:val="24"/>
                                <w:szCs w:val="24"/>
                              </w:rPr>
                              <w:t xml:space="preserve">: There were no PCBs detected in the soil sample. The reporting limit from our laboratory methods are far below the EPA’s PCB soil screening levels, so we can confidently conclude that no PCBs are present at hazardous levels in soil. </w:t>
                            </w:r>
                          </w:p>
                          <w:p>
                            <w:pPr>
                              <w:pStyle w:val="FrameContents"/>
                              <w:rPr/>
                            </w:pPr>
                            <w:r>
                              <w:rPr/>
                            </w:r>
                          </w:p>
                        </w:txbxContent>
                      </wps:txbx>
                      <wps:bodyPr>
                        <a:prstTxWarp prst="textNoShape"/>
                        <a:noAutofit/>
                      </wps:bodyPr>
                    </wps:wsp>
                  </a:graphicData>
                </a:graphic>
              </wp:anchor>
            </w:drawing>
          </mc:Choice>
          <mc:Fallback>
            <w:pict>
              <v:rect id="shape_0" ID="Text Box 2" fillcolor="#dce6f2" stroked="f" style="position:absolute;margin-left:-5.4pt;margin-top:17.4pt;width:455.4pt;height:74.15pt" wp14:anchorId="269A40FA">
                <w10:wrap type="square"/>
                <v:fill o:detectmouseclick="t" type="solid" color2="#23190d"/>
                <v:stroke color="#3465a4" joinstyle="round" endcap="flat"/>
                <v:textbox>
                  <w:txbxContent>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Interpretation</w:t>
                      </w:r>
                      <w:r>
                        <w:rPr>
                          <w:rFonts w:ascii="Times New Roman" w:hAnsi="Times New Roman"/>
                          <w:color w:val="000000"/>
                          <w:sz w:val="24"/>
                          <w:szCs w:val="24"/>
                        </w:rPr>
                        <w:t xml:space="preserve">: There were no PCBs detected in the soil sample. The reporting limit from our laboratory methods are far below the EPA’s PCB soil screening levels, so we can confidently conclude that no PCBs are present at hazardous levels in soil. </w:t>
                      </w:r>
                    </w:p>
                    <w:p>
                      <w:pPr>
                        <w:pStyle w:val="FrameContents"/>
                        <w:rPr/>
                      </w:pPr>
                      <w:r>
                        <w:rPr/>
                      </w:r>
                    </w:p>
                  </w:txbxContent>
                </v:textbox>
              </v:rect>
            </w:pict>
          </mc:Fallback>
        </mc:AlternateContent>
      </w:r>
    </w:p>
    <w:p>
      <w:pPr>
        <w:pStyle w:val="Normal"/>
        <w:rPr>
          <w:rFonts w:ascii="Calibri" w:hAnsi="Calibri" w:eastAsia="Times New Roman" w:cs="Times New Roman"/>
          <w:b/>
          <w:b/>
          <w:bCs/>
          <w:color w:val="000000"/>
        </w:rPr>
      </w:pPr>
      <w:r>
        <w:rPr>
          <w:rFonts w:eastAsia="Times New Roman" w:cs="Times New Roman" w:ascii="Calibri" w:hAnsi="Calibri"/>
          <w:b/>
          <w:bCs/>
          <w:color w:val="000000"/>
        </w:rPr>
      </w:r>
    </w:p>
    <w:p>
      <w:pPr>
        <w:pStyle w:val="Normal"/>
        <w:tabs>
          <w:tab w:val="clear" w:pos="720"/>
          <w:tab w:val="left" w:pos="0" w:leader="none"/>
        </w:tabs>
        <w:ind w:right="580"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Table 7 shows a comparison of the reporting limits from our laboratory methods with the EPA’s screening levels for PCBs in soil.</w:t>
      </w:r>
    </w:p>
    <w:p>
      <w:pPr>
        <w:pStyle w:val="Normal"/>
        <w:tabs>
          <w:tab w:val="clear" w:pos="720"/>
          <w:tab w:val="left" w:pos="0" w:leader="none"/>
        </w:tabs>
        <w:ind w:right="580"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r>
    </w:p>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Table 7: Comparison of Reporting Limit to Screening Level (ug/Kg)</w:t>
      </w:r>
    </w:p>
    <w:tbl>
      <w:tblPr>
        <w:tblW w:w="7125" w:type="dxa"/>
        <w:jc w:val="left"/>
        <w:tblInd w:w="93" w:type="dxa"/>
        <w:tblCellMar>
          <w:top w:w="0" w:type="dxa"/>
          <w:left w:w="108" w:type="dxa"/>
          <w:bottom w:w="0" w:type="dxa"/>
          <w:right w:w="108" w:type="dxa"/>
        </w:tblCellMar>
        <w:tblLook w:noVBand="1" w:val="04a0" w:noHBand="0" w:lastColumn="0" w:firstColumn="1" w:lastRow="0" w:firstRow="1"/>
      </w:tblPr>
      <w:tblGrid>
        <w:gridCol w:w="1814"/>
        <w:gridCol w:w="1261"/>
        <w:gridCol w:w="1350"/>
        <w:gridCol w:w="1350"/>
        <w:gridCol w:w="1350"/>
      </w:tblGrid>
      <w:tr>
        <w:trPr>
          <w:trHeight w:val="300" w:hRule="atLeast"/>
        </w:trPr>
        <w:tc>
          <w:tcPr>
            <w:tcW w:w="1814"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Site</w:t>
            </w:r>
          </w:p>
        </w:tc>
        <w:tc>
          <w:tcPr>
            <w:tcW w:w="1261" w:type="dxa"/>
            <w:tcBorders>
              <w:top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EPA Screening Level</w:t>
            </w:r>
          </w:p>
        </w:tc>
        <w:tc>
          <w:tcPr>
            <w:tcW w:w="1350" w:type="dxa"/>
            <w:tcBorders>
              <w:top w:val="single" w:sz="4" w:space="0" w:color="000000"/>
              <w:bottom w:val="single" w:sz="4" w:space="0" w:color="000000"/>
              <w:right w:val="single" w:sz="4" w:space="0" w:color="000000"/>
            </w:tcBorders>
            <w:shd w:color="000000" w:fill="DAEEF3"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SRO02</w:t>
            </w:r>
          </w:p>
          <w:p>
            <w:pPr>
              <w:pStyle w:val="Normal"/>
              <w:rPr>
                <w:rFonts w:ascii="Times New Roman" w:hAnsi="Times New Roman" w:eastAsia="Times New Roman" w:cs="Times New Roman"/>
                <w:b/>
                <w:b/>
                <w:bCs/>
                <w:color w:val="000000"/>
                <w:sz w:val="24"/>
                <w:szCs w:val="24"/>
              </w:rPr>
            </w:pPr>
            <w:r>
              <w:rPr>
                <w:rFonts w:eastAsia="Times New Roman" w:ascii="Times New Roman" w:hAnsi="Times New Roman"/>
                <w:b/>
                <w:bCs/>
                <w:color w:val="000000"/>
                <w:sz w:val="24"/>
                <w:szCs w:val="24"/>
              </w:rPr>
              <w:t>Reporting Limit</w:t>
            </w:r>
          </w:p>
        </w:tc>
        <w:tc>
          <w:tcPr>
            <w:tcW w:w="1350" w:type="dxa"/>
            <w:tcBorders>
              <w:top w:val="single" w:sz="4" w:space="0" w:color="000000"/>
              <w:bottom w:val="single" w:sz="4" w:space="0" w:color="000000"/>
              <w:right w:val="single" w:sz="4" w:space="0" w:color="000000"/>
            </w:tcBorders>
            <w:shd w:color="000000" w:fill="FDE9D9" w:themeFill="accent6" w:themeFillTint="33"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ROH02</w:t>
            </w:r>
          </w:p>
          <w:p>
            <w:pPr>
              <w:pStyle w:val="Normal"/>
              <w:rPr>
                <w:rFonts w:ascii="Times New Roman" w:hAnsi="Times New Roman" w:eastAsia="Times New Roman" w:cs="Times New Roman"/>
                <w:b/>
                <w:b/>
                <w:bCs/>
                <w:color w:val="000000"/>
                <w:sz w:val="24"/>
                <w:szCs w:val="24"/>
              </w:rPr>
            </w:pPr>
            <w:r>
              <w:rPr>
                <w:rFonts w:eastAsia="Times New Roman" w:ascii="Times New Roman" w:hAnsi="Times New Roman"/>
                <w:b/>
                <w:bCs/>
                <w:color w:val="000000"/>
                <w:sz w:val="24"/>
                <w:szCs w:val="24"/>
              </w:rPr>
              <w:t>Reporting Limit</w:t>
            </w:r>
          </w:p>
        </w:tc>
        <w:tc>
          <w:tcPr>
            <w:tcW w:w="1350" w:type="dxa"/>
            <w:tcBorders>
              <w:top w:val="single" w:sz="4" w:space="0" w:color="000000"/>
              <w:bottom w:val="single" w:sz="4" w:space="0" w:color="000000"/>
              <w:right w:val="single" w:sz="4" w:space="0" w:color="000000"/>
            </w:tcBorders>
            <w:shd w:color="000000" w:fill="E5DFEC" w:themeFill="accent4" w:themeFillTint="33"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PTL04</w:t>
            </w:r>
          </w:p>
          <w:p>
            <w:pPr>
              <w:pStyle w:val="Normal"/>
              <w:rPr>
                <w:rFonts w:ascii="Times New Roman" w:hAnsi="Times New Roman" w:eastAsia="Times New Roman" w:cs="Times New Roman"/>
                <w:b/>
                <w:b/>
                <w:bCs/>
                <w:color w:val="000000"/>
                <w:sz w:val="24"/>
                <w:szCs w:val="24"/>
              </w:rPr>
            </w:pPr>
            <w:r>
              <w:rPr>
                <w:rFonts w:eastAsia="Times New Roman" w:ascii="Times New Roman" w:hAnsi="Times New Roman"/>
                <w:b/>
                <w:bCs/>
                <w:color w:val="000000"/>
                <w:sz w:val="24"/>
                <w:szCs w:val="24"/>
              </w:rPr>
              <w:t>Reporting Limit</w:t>
            </w:r>
          </w:p>
        </w:tc>
      </w:tr>
      <w:tr>
        <w:trPr>
          <w:trHeight w:val="300" w:hRule="atLeast"/>
        </w:trPr>
        <w:tc>
          <w:tcPr>
            <w:tcW w:w="1814"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Aroclor-1016</w:t>
            </w:r>
          </w:p>
        </w:tc>
        <w:tc>
          <w:tcPr>
            <w:tcW w:w="1261"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411</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13</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r>
      <w:tr>
        <w:trPr>
          <w:trHeight w:val="300" w:hRule="atLeast"/>
        </w:trPr>
        <w:tc>
          <w:tcPr>
            <w:tcW w:w="1814"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Aroclor-1221</w:t>
            </w:r>
          </w:p>
        </w:tc>
        <w:tc>
          <w:tcPr>
            <w:tcW w:w="1261"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2000</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26</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24</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24</w:t>
            </w:r>
          </w:p>
        </w:tc>
      </w:tr>
      <w:tr>
        <w:trPr>
          <w:trHeight w:val="300" w:hRule="atLeast"/>
        </w:trPr>
        <w:tc>
          <w:tcPr>
            <w:tcW w:w="1814"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Aroclor-1232</w:t>
            </w:r>
          </w:p>
        </w:tc>
        <w:tc>
          <w:tcPr>
            <w:tcW w:w="1261"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1720</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13</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r>
      <w:tr>
        <w:trPr>
          <w:trHeight w:val="300" w:hRule="atLeast"/>
        </w:trPr>
        <w:tc>
          <w:tcPr>
            <w:tcW w:w="1814"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Aroclor-1242</w:t>
            </w:r>
          </w:p>
        </w:tc>
        <w:tc>
          <w:tcPr>
            <w:tcW w:w="1261"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2300</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13</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r>
      <w:tr>
        <w:trPr>
          <w:trHeight w:val="300" w:hRule="atLeast"/>
        </w:trPr>
        <w:tc>
          <w:tcPr>
            <w:tcW w:w="1814"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Aroclor-1248</w:t>
            </w:r>
          </w:p>
        </w:tc>
        <w:tc>
          <w:tcPr>
            <w:tcW w:w="1261"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2310</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13</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r>
      <w:tr>
        <w:trPr>
          <w:trHeight w:val="300" w:hRule="atLeast"/>
        </w:trPr>
        <w:tc>
          <w:tcPr>
            <w:tcW w:w="1814"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Aroclor-1254</w:t>
            </w:r>
          </w:p>
        </w:tc>
        <w:tc>
          <w:tcPr>
            <w:tcW w:w="1261"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176</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13</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r>
      <w:tr>
        <w:trPr>
          <w:trHeight w:val="300" w:hRule="atLeast"/>
        </w:trPr>
        <w:tc>
          <w:tcPr>
            <w:tcW w:w="1814"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Aroclor-1260</w:t>
            </w:r>
          </w:p>
        </w:tc>
        <w:tc>
          <w:tcPr>
            <w:tcW w:w="1261"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2400</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13</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c>
          <w:tcPr>
            <w:tcW w:w="135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r>
    </w:tbl>
    <w:p>
      <w:pPr>
        <w:pStyle w:val="Normal"/>
        <w:rPr>
          <w:rFonts w:ascii="Times New Roman" w:hAnsi="Times New Roman"/>
          <w:sz w:val="24"/>
          <w:szCs w:val="24"/>
        </w:rPr>
      </w:pPr>
      <w:r>
        <w:rPr>
          <w:rFonts w:ascii="Times New Roman" w:hAnsi="Times New Roman"/>
          <w:sz w:val="24"/>
          <w:szCs w:val="24"/>
        </w:rPr>
      </w:r>
    </w:p>
    <w:p>
      <w:pPr>
        <w:pStyle w:val="Normal"/>
        <w:rPr/>
      </w:pPr>
      <w:r>
        <w:rPr/>
      </w:r>
    </w:p>
    <w:p>
      <w:pPr>
        <w:pStyle w:val="Normal"/>
        <w:rPr/>
      </w:pPr>
      <w:r>
        <w:rPr/>
      </w:r>
    </w:p>
    <w:p>
      <w:pPr>
        <w:pStyle w:val="Normal"/>
        <w:rPr/>
      </w:pPr>
      <w:r>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w:t>Dioxins &amp; Furans Summary – Soil (Page 1 of 2)</w: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mc:AlternateContent>
          <mc:Choice Requires="wps">
            <w:drawing>
              <wp:anchor behindDoc="0" distT="0" distB="0" distL="114300" distR="113030" simplePos="0" locked="0" layoutInCell="1" allowOverlap="1" relativeHeight="10" wp14:anchorId="64AC54EF">
                <wp:simplePos x="0" y="0"/>
                <wp:positionH relativeFrom="column">
                  <wp:posOffset>-68580</wp:posOffset>
                </wp:positionH>
                <wp:positionV relativeFrom="paragraph">
                  <wp:posOffset>221615</wp:posOffset>
                </wp:positionV>
                <wp:extent cx="5899150" cy="1845945"/>
                <wp:effectExtent l="0" t="0" r="20320" b="34925"/>
                <wp:wrapSquare wrapText="bothSides"/>
                <wp:docPr id="31" name="Text Box 17"/>
                <a:graphic xmlns:a="http://schemas.openxmlformats.org/drawingml/2006/main">
                  <a:graphicData uri="http://schemas.microsoft.com/office/word/2010/wordprocessingShape">
                    <wps:wsp>
                      <wps:cNvSpPr/>
                      <wps:spPr>
                        <a:xfrm>
                          <a:off x="0" y="0"/>
                          <a:ext cx="5898600" cy="1845360"/>
                        </a:xfrm>
                        <a:prstGeom prst="rect">
                          <a:avLst/>
                        </a:prstGeom>
                        <a:solidFill>
                          <a:srgbClr val="dce6f2"/>
                        </a:solidFill>
                        <a:ln>
                          <a:noFill/>
                        </a:ln>
                      </wps:spPr>
                      <wps:style>
                        <a:lnRef idx="0">
                          <a:schemeClr val="accent1"/>
                        </a:lnRef>
                        <a:fillRef idx="0">
                          <a:schemeClr val="accent1"/>
                        </a:fillRef>
                        <a:effectRef idx="0">
                          <a:schemeClr val="accent1"/>
                        </a:effectRef>
                        <a:fontRef idx="minor"/>
                      </wps:style>
                      <wps:txbx>
                        <w:txbxContent>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Interpretation</w:t>
                            </w:r>
                            <w:r>
                              <w:rPr>
                                <w:rFonts w:ascii="Times New Roman" w:hAnsi="Times New Roman"/>
                                <w:color w:val="000000"/>
                                <w:sz w:val="24"/>
                                <w:szCs w:val="24"/>
                              </w:rPr>
                              <w:t>: Several dioxins and furans were detected in soil from your site at cumulative concentrations that exceed the EPA and OEHHA’s Screening Levels.</w:t>
                            </w:r>
                          </w:p>
                          <w:p>
                            <w:pPr>
                              <w:pStyle w:val="FrameContents"/>
                              <w:tabs>
                                <w:tab w:val="clear" w:pos="720"/>
                                <w:tab w:val="left" w:pos="0" w:leader="none"/>
                              </w:tabs>
                              <w:rPr>
                                <w:rFonts w:ascii="Times New Roman" w:hAnsi="Times New Roman"/>
                                <w:color w:val="000000"/>
                                <w:sz w:val="24"/>
                                <w:szCs w:val="24"/>
                              </w:rPr>
                            </w:pPr>
                            <w:r>
                              <w:rPr>
                                <w:rFonts w:ascii="Times New Roman" w:hAnsi="Times New Roman"/>
                                <w:color w:val="000000"/>
                                <w:sz w:val="24"/>
                                <w:szCs w:val="24"/>
                              </w:rPr>
                            </w:r>
                          </w:p>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Recommendations</w:t>
                            </w:r>
                            <w:r>
                              <w:rPr>
                                <w:rFonts w:ascii="Times New Roman" w:hAnsi="Times New Roman"/>
                                <w:color w:val="000000"/>
                                <w:sz w:val="24"/>
                                <w:szCs w:val="24"/>
                              </w:rPr>
                              <w:t xml:space="preserve">: The main concern with soil dioxin contamination is from direct inhalation and ingestion of soil. Children are more likely to ingest soil. </w:t>
                            </w:r>
                            <w:r>
                              <w:rPr>
                                <w:rFonts w:ascii="Times New Roman" w:hAnsi="Times New Roman"/>
                                <w:i/>
                                <w:color w:val="000000"/>
                                <w:sz w:val="24"/>
                                <w:szCs w:val="24"/>
                              </w:rPr>
                              <w:t>Short-term</w:t>
                            </w:r>
                            <w:r>
                              <w:rPr>
                                <w:rFonts w:ascii="Times New Roman" w:hAnsi="Times New Roman"/>
                                <w:color w:val="000000"/>
                                <w:sz w:val="24"/>
                                <w:szCs w:val="24"/>
                              </w:rPr>
                              <w:t xml:space="preserve">: Reduce direct contact with soil. Wash hands after working with soil. Wash produce thoroughly, and peel root vegetables. </w:t>
                            </w:r>
                            <w:r>
                              <w:rPr>
                                <w:rFonts w:ascii="Times New Roman" w:hAnsi="Times New Roman"/>
                                <w:i/>
                                <w:color w:val="000000"/>
                                <w:sz w:val="24"/>
                                <w:szCs w:val="24"/>
                              </w:rPr>
                              <w:t>Long-term</w:t>
                            </w:r>
                            <w:r>
                              <w:rPr>
                                <w:rFonts w:ascii="Times New Roman" w:hAnsi="Times New Roman"/>
                                <w:color w:val="000000"/>
                                <w:sz w:val="24"/>
                                <w:szCs w:val="24"/>
                              </w:rPr>
                              <w:t xml:space="preserve">: Heavily amend soil with compost and mulch to dilute dioxins and build up. Use drip irrigation to reduce the up-splash of soil and dust. Re-test soil. </w:t>
                            </w:r>
                          </w:p>
                          <w:p>
                            <w:pPr>
                              <w:pStyle w:val="FrameContents"/>
                              <w:tabs>
                                <w:tab w:val="clear" w:pos="720"/>
                                <w:tab w:val="left" w:pos="0" w:leader="none"/>
                              </w:tabs>
                              <w:rPr/>
                            </w:pPr>
                            <w:r>
                              <w:rPr/>
                            </w:r>
                          </w:p>
                        </w:txbxContent>
                      </wps:txbx>
                      <wps:bodyPr>
                        <a:prstTxWarp prst="textNoShape"/>
                        <a:noAutofit/>
                      </wps:bodyPr>
                    </wps:wsp>
                  </a:graphicData>
                </a:graphic>
              </wp:anchor>
            </w:drawing>
          </mc:Choice>
          <mc:Fallback>
            <w:pict>
              <v:rect id="shape_0" ID="Text Box 17" fillcolor="#dce6f2" stroked="f" style="position:absolute;margin-left:-5.4pt;margin-top:17.45pt;width:464.4pt;height:145.25pt" wp14:anchorId="64AC54EF">
                <w10:wrap type="square"/>
                <v:fill o:detectmouseclick="t" type="solid" color2="#23190d"/>
                <v:stroke color="#3465a4" joinstyle="round" endcap="flat"/>
                <v:textbox>
                  <w:txbxContent>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Interpretation</w:t>
                      </w:r>
                      <w:r>
                        <w:rPr>
                          <w:rFonts w:ascii="Times New Roman" w:hAnsi="Times New Roman"/>
                          <w:color w:val="000000"/>
                          <w:sz w:val="24"/>
                          <w:szCs w:val="24"/>
                        </w:rPr>
                        <w:t>: Several dioxins and furans were detected in soil from your site at cumulative concentrations that exceed the EPA and OEHHA’s Screening Levels.</w:t>
                      </w:r>
                    </w:p>
                    <w:p>
                      <w:pPr>
                        <w:pStyle w:val="FrameContents"/>
                        <w:tabs>
                          <w:tab w:val="clear" w:pos="720"/>
                          <w:tab w:val="left" w:pos="0" w:leader="none"/>
                        </w:tabs>
                        <w:rPr>
                          <w:rFonts w:ascii="Times New Roman" w:hAnsi="Times New Roman"/>
                          <w:color w:val="000000"/>
                          <w:sz w:val="24"/>
                          <w:szCs w:val="24"/>
                        </w:rPr>
                      </w:pPr>
                      <w:r>
                        <w:rPr>
                          <w:rFonts w:ascii="Times New Roman" w:hAnsi="Times New Roman"/>
                          <w:color w:val="000000"/>
                          <w:sz w:val="24"/>
                          <w:szCs w:val="24"/>
                        </w:rPr>
                      </w:r>
                    </w:p>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Recommendations</w:t>
                      </w:r>
                      <w:r>
                        <w:rPr>
                          <w:rFonts w:ascii="Times New Roman" w:hAnsi="Times New Roman"/>
                          <w:color w:val="000000"/>
                          <w:sz w:val="24"/>
                          <w:szCs w:val="24"/>
                        </w:rPr>
                        <w:t xml:space="preserve">: The main concern with soil dioxin contamination is from direct inhalation and ingestion of soil. Children are more likely to ingest soil. </w:t>
                      </w:r>
                      <w:r>
                        <w:rPr>
                          <w:rFonts w:ascii="Times New Roman" w:hAnsi="Times New Roman"/>
                          <w:i/>
                          <w:color w:val="000000"/>
                          <w:sz w:val="24"/>
                          <w:szCs w:val="24"/>
                        </w:rPr>
                        <w:t>Short-term</w:t>
                      </w:r>
                      <w:r>
                        <w:rPr>
                          <w:rFonts w:ascii="Times New Roman" w:hAnsi="Times New Roman"/>
                          <w:color w:val="000000"/>
                          <w:sz w:val="24"/>
                          <w:szCs w:val="24"/>
                        </w:rPr>
                        <w:t xml:space="preserve">: Reduce direct contact with soil. Wash hands after working with soil. Wash produce thoroughly, and peel root vegetables. </w:t>
                      </w:r>
                      <w:r>
                        <w:rPr>
                          <w:rFonts w:ascii="Times New Roman" w:hAnsi="Times New Roman"/>
                          <w:i/>
                          <w:color w:val="000000"/>
                          <w:sz w:val="24"/>
                          <w:szCs w:val="24"/>
                        </w:rPr>
                        <w:t>Long-term</w:t>
                      </w:r>
                      <w:r>
                        <w:rPr>
                          <w:rFonts w:ascii="Times New Roman" w:hAnsi="Times New Roman"/>
                          <w:color w:val="000000"/>
                          <w:sz w:val="24"/>
                          <w:szCs w:val="24"/>
                        </w:rPr>
                        <w:t xml:space="preserve">: Heavily amend soil with compost and mulch to dilute dioxins and build up. Use drip irrigation to reduce the up-splash of soil and dust. Re-test soil. </w:t>
                      </w:r>
                    </w:p>
                    <w:p>
                      <w:pPr>
                        <w:pStyle w:val="FrameContents"/>
                        <w:tabs>
                          <w:tab w:val="clear" w:pos="720"/>
                          <w:tab w:val="left" w:pos="0" w:leader="none"/>
                        </w:tabs>
                        <w:rPr/>
                      </w:pPr>
                      <w:r>
                        <w:rPr/>
                      </w:r>
                    </w:p>
                  </w:txbxContent>
                </v:textbox>
              </v:rect>
            </w:pict>
          </mc:Fallback>
        </mc:AlternateContent>
      </w:r>
    </w:p>
    <w:p>
      <w:pPr>
        <w:pStyle w:val="Normal"/>
        <w:rPr>
          <w:rFonts w:ascii="Calibri" w:hAnsi="Calibri" w:eastAsia="Times New Roman" w:cs="Times New Roman"/>
          <w:b/>
          <w:b/>
          <w:bCs/>
          <w:color w:val="000000"/>
        </w:rPr>
      </w:pPr>
      <w:r>
        <w:rPr>
          <w:rFonts w:eastAsia="Times New Roman" w:cs="Times New Roman" w:ascii="Calibri" w:hAnsi="Calibri"/>
          <w:b/>
          <w:bCs/>
          <w:color w:val="000000"/>
        </w:rPr>
      </w:r>
    </w:p>
    <w:tbl>
      <w:tblPr>
        <w:tblW w:w="10710" w:type="dxa"/>
        <w:jc w:val="left"/>
        <w:tblInd w:w="-72" w:type="dxa"/>
        <w:tblCellMar>
          <w:top w:w="0" w:type="dxa"/>
          <w:left w:w="108" w:type="dxa"/>
          <w:bottom w:w="0" w:type="dxa"/>
          <w:right w:w="108" w:type="dxa"/>
        </w:tblCellMar>
        <w:tblLook w:noVBand="1" w:val="04a0" w:noHBand="0" w:lastColumn="0" w:firstColumn="1" w:lastRow="0" w:firstRow="1"/>
      </w:tblPr>
      <w:tblGrid>
        <w:gridCol w:w="163"/>
        <w:gridCol w:w="2181"/>
        <w:gridCol w:w="1142"/>
        <w:gridCol w:w="1319"/>
        <w:gridCol w:w="1420"/>
        <w:gridCol w:w="1220"/>
        <w:gridCol w:w="1915"/>
        <w:gridCol w:w="1"/>
        <w:gridCol w:w="1347"/>
      </w:tblGrid>
      <w:tr>
        <w:trPr>
          <w:trHeight w:val="400" w:hRule="atLeast"/>
        </w:trPr>
        <w:tc>
          <w:tcPr>
            <w:tcW w:w="9361" w:type="dxa"/>
            <w:gridSpan w:val="8"/>
            <w:tcBorders/>
            <w:shd w:color="auto" w:fill="auto" w:val="clear"/>
            <w:vAlign w:val="bottom"/>
          </w:tcPr>
          <w:p>
            <w:pPr>
              <w:pStyle w:val="Normal"/>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 xml:space="preserve">Table 8 shows a </w:t>
            </w:r>
            <w:r>
              <w:rPr>
                <w:rFonts w:eastAsia="Times New Roman" w:cs="Times New Roman" w:ascii="Times New Roman" w:hAnsi="Times New Roman"/>
                <w:b/>
                <w:bCs/>
                <w:i/>
                <w:color w:val="000000"/>
                <w:sz w:val="24"/>
                <w:szCs w:val="24"/>
              </w:rPr>
              <w:t>cumulative dioxin concentration</w:t>
            </w:r>
            <w:r>
              <w:rPr>
                <w:rFonts w:eastAsia="Times New Roman" w:cs="Times New Roman" w:ascii="Times New Roman" w:hAnsi="Times New Roman"/>
                <w:bCs/>
                <w:color w:val="000000"/>
                <w:sz w:val="24"/>
                <w:szCs w:val="24"/>
              </w:rPr>
              <w:t xml:space="preserve"> for the tested sites. These values are created by scaling the concentrations of each dioxin and furan detected (Table 5) by the relative toxicity of each dioxin or furan. This is known as the “Toxic Equivalency Factor” (TEQ). We used the TEQs proposed by the World Health Organization (WHO) in 2005. We compared this cumulative dioxin concentration to the soil dioxin screening level proposed by the EPA.</w:t>
            </w:r>
          </w:p>
          <w:p>
            <w:pPr>
              <w:pStyle w:val="Normal"/>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u w:val="single"/>
              </w:rPr>
              <w:t>Key</w:t>
            </w:r>
            <w:r>
              <w:rPr>
                <w:rFonts w:eastAsia="Times New Roman" w:cs="Times New Roman" w:ascii="Times New Roman" w:hAnsi="Times New Roman"/>
                <w:bCs/>
                <w:color w:val="000000"/>
                <w:sz w:val="24"/>
                <w:szCs w:val="24"/>
              </w:rPr>
              <w:t>: ND= “Non-detect”, DL= “Detection Limit”, SL= “Screening Level”</w:t>
            </w:r>
          </w:p>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r>
          </w:p>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b/>
                <w:bCs/>
                <w:color w:val="000000"/>
                <w:sz w:val="24"/>
                <w:szCs w:val="24"/>
              </w:rPr>
              <w:t xml:space="preserve">Table 8: Cumulative Dioxin Concentration WHO 2005 TEQ </w:t>
            </w:r>
            <w:r>
              <w:rPr>
                <w:rFonts w:eastAsia="Times New Roman" w:cs="Times New Roman" w:ascii="Times New Roman" w:hAnsi="Times New Roman"/>
                <w:b/>
                <w:bCs/>
                <w:sz w:val="24"/>
                <w:szCs w:val="24"/>
              </w:rPr>
              <w:t>ND=DL/2</w:t>
            </w:r>
            <w:r>
              <w:rPr>
                <w:rFonts w:eastAsia="Times New Roman" w:cs="Times New Roman" w:ascii="Times New Roman" w:hAnsi="Times New Roman"/>
                <w:b/>
                <w:bCs/>
                <w:color w:val="000000"/>
                <w:sz w:val="24"/>
                <w:szCs w:val="24"/>
              </w:rPr>
              <w:t xml:space="preserve"> (pg/g)</w:t>
            </w:r>
          </w:p>
        </w:tc>
        <w:tc>
          <w:tcPr>
            <w:tcW w:w="1347" w:type="dxa"/>
            <w:tcBorders/>
            <w:shd w:fill="auto" w:val="clear"/>
          </w:tcPr>
          <w:p>
            <w:pPr>
              <w:pStyle w:val="Normal"/>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r>
          </w:p>
        </w:tc>
      </w:tr>
      <w:tr>
        <w:trPr>
          <w:trHeight w:val="300" w:hRule="atLeast"/>
        </w:trPr>
        <w:tc>
          <w:tcPr>
            <w:tcW w:w="163" w:type="dxa"/>
            <w:tcBorders/>
            <w:shd w:fill="auto" w:val="clear"/>
          </w:tcPr>
          <w:p>
            <w:pPr>
              <w:pStyle w:val="Normal"/>
              <w:rPr/>
            </w:pPr>
            <w:r>
              <w:rPr/>
            </w:r>
          </w:p>
        </w:tc>
        <w:tc>
          <w:tcPr>
            <w:tcW w:w="218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Site</w:t>
            </w:r>
          </w:p>
        </w:tc>
        <w:tc>
          <w:tcPr>
            <w:tcW w:w="1142" w:type="dxa"/>
            <w:tcBorders>
              <w:top w:val="single" w:sz="4" w:space="0" w:color="000000"/>
              <w:bottom w:val="single" w:sz="4" w:space="0" w:color="000000"/>
              <w:right w:val="single" w:sz="4" w:space="0" w:color="000000"/>
            </w:tcBorders>
            <w:shd w:color="000000" w:fill="DAEEF3" w:val="clear"/>
            <w:vAlign w:val="bottom"/>
          </w:tcPr>
          <w:p>
            <w:pPr>
              <w:pStyle w:val="Normal"/>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SRO02</w:t>
            </w:r>
          </w:p>
        </w:tc>
        <w:tc>
          <w:tcPr>
            <w:tcW w:w="1319" w:type="dxa"/>
            <w:tcBorders>
              <w:top w:val="single" w:sz="4" w:space="0" w:color="000000"/>
              <w:bottom w:val="single" w:sz="4" w:space="0" w:color="000000"/>
              <w:right w:val="single" w:sz="4" w:space="0" w:color="000000"/>
            </w:tcBorders>
            <w:shd w:color="000000" w:fill="FDE9D9"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ROH02</w:t>
            </w:r>
          </w:p>
        </w:tc>
        <w:tc>
          <w:tcPr>
            <w:tcW w:w="1420" w:type="dxa"/>
            <w:tcBorders>
              <w:top w:val="single" w:sz="4" w:space="0" w:color="000000"/>
              <w:bottom w:val="single" w:sz="4" w:space="0" w:color="000000"/>
              <w:right w:val="single" w:sz="4" w:space="0" w:color="000000"/>
            </w:tcBorders>
            <w:shd w:color="000000" w:fill="E4DFEC" w:val="clear"/>
            <w:vAlign w:val="bottom"/>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PLT04</w:t>
            </w:r>
          </w:p>
        </w:tc>
        <w:tc>
          <w:tcPr>
            <w:tcW w:w="1220" w:type="dxa"/>
            <w:tcBorders>
              <w:top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EPA SL</w:t>
            </w:r>
          </w:p>
        </w:tc>
        <w:tc>
          <w:tcPr>
            <w:tcW w:w="1915" w:type="dxa"/>
            <w:tcBorders>
              <w:top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OEHHA SL</w:t>
            </w:r>
          </w:p>
        </w:tc>
        <w:tc>
          <w:tcPr>
            <w:tcW w:w="1348" w:type="dxa"/>
            <w:gridSpan w:val="2"/>
            <w:tcBorders/>
            <w:shd w:fill="auto" w:val="clear"/>
          </w:tcPr>
          <w:p>
            <w:pPr>
              <w:pStyle w:val="Normal"/>
              <w:rPr/>
            </w:pPr>
            <w:r>
              <w:rPr/>
            </w:r>
          </w:p>
        </w:tc>
      </w:tr>
      <w:tr>
        <w:trPr>
          <w:trHeight w:val="300" w:hRule="atLeast"/>
        </w:trPr>
        <w:tc>
          <w:tcPr>
            <w:tcW w:w="163" w:type="dxa"/>
            <w:tcBorders/>
            <w:shd w:fill="auto" w:val="clear"/>
          </w:tcPr>
          <w:p>
            <w:pPr>
              <w:pStyle w:val="Normal"/>
              <w:rPr/>
            </w:pPr>
            <w:r>
              <w:rPr/>
            </w:r>
          </w:p>
        </w:tc>
        <w:tc>
          <w:tcPr>
            <w:tcW w:w="2181"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Replicate</w:t>
            </w:r>
          </w:p>
        </w:tc>
        <w:tc>
          <w:tcPr>
            <w:tcW w:w="1142" w:type="dxa"/>
            <w:tcBorders>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Average</w:t>
            </w:r>
          </w:p>
        </w:tc>
        <w:tc>
          <w:tcPr>
            <w:tcW w:w="1319"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Average</w:t>
            </w:r>
          </w:p>
        </w:tc>
        <w:tc>
          <w:tcPr>
            <w:tcW w:w="1420"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Average</w:t>
            </w:r>
          </w:p>
        </w:tc>
        <w:tc>
          <w:tcPr>
            <w:tcW w:w="1220"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w:t>
            </w:r>
          </w:p>
        </w:tc>
        <w:tc>
          <w:tcPr>
            <w:tcW w:w="1915"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w:t>
            </w:r>
          </w:p>
        </w:tc>
        <w:tc>
          <w:tcPr>
            <w:tcW w:w="1348" w:type="dxa"/>
            <w:gridSpan w:val="2"/>
            <w:tcBorders/>
            <w:shd w:fill="auto" w:val="clear"/>
          </w:tcPr>
          <w:p>
            <w:pPr>
              <w:pStyle w:val="Normal"/>
              <w:rPr/>
            </w:pPr>
            <w:r>
              <w:rPr/>
            </w:r>
          </w:p>
        </w:tc>
      </w:tr>
      <w:tr>
        <w:trPr>
          <w:trHeight w:val="600" w:hRule="atLeast"/>
        </w:trPr>
        <w:tc>
          <w:tcPr>
            <w:tcW w:w="163" w:type="dxa"/>
            <w:tcBorders/>
            <w:shd w:fill="auto" w:val="clear"/>
          </w:tcPr>
          <w:p>
            <w:pPr>
              <w:pStyle w:val="Normal"/>
              <w:rPr/>
            </w:pPr>
            <w:r>
              <w:rPr/>
            </w:r>
          </w:p>
        </w:tc>
        <w:tc>
          <w:tcPr>
            <w:tcW w:w="2181"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Soil Dioxin Concentration</w:t>
            </w:r>
          </w:p>
        </w:tc>
        <w:tc>
          <w:tcPr>
            <w:tcW w:w="1142" w:type="dxa"/>
            <w:tcBorders>
              <w:bottom w:val="single" w:sz="4" w:space="0" w:color="000000"/>
              <w:right w:val="single" w:sz="4" w:space="0" w:color="000000"/>
            </w:tcBorders>
            <w:shd w:color="auto" w:fill="auto" w:val="clear"/>
            <w:vAlign w:val="bottom"/>
          </w:tcPr>
          <w:p>
            <w:pPr>
              <w:pStyle w:val="Normal"/>
              <w:jc w:val="center"/>
              <w:rPr>
                <w:rFonts w:ascii="Times New Roman" w:hAnsi="Times New Roman" w:eastAsia="Times New Roman" w:cs="Times New Roman"/>
                <w:iCs/>
                <w:color w:val="000000"/>
                <w:sz w:val="24"/>
                <w:szCs w:val="24"/>
              </w:rPr>
            </w:pPr>
            <w:r>
              <w:rPr>
                <w:rFonts w:eastAsia="Times New Roman" w:cs="Times New Roman" w:ascii="Times New Roman" w:hAnsi="Times New Roman"/>
                <w:iCs/>
                <w:color w:val="000000"/>
                <w:sz w:val="24"/>
                <w:szCs w:val="24"/>
              </w:rPr>
              <w:t>13.2</w:t>
            </w:r>
          </w:p>
        </w:tc>
        <w:tc>
          <w:tcPr>
            <w:tcW w:w="1319"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2.2133</w:t>
            </w:r>
          </w:p>
        </w:tc>
        <w:tc>
          <w:tcPr>
            <w:tcW w:w="142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2.3867</w:t>
            </w:r>
          </w:p>
        </w:tc>
        <w:tc>
          <w:tcPr>
            <w:tcW w:w="1220"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4.77</w:t>
            </w:r>
          </w:p>
        </w:tc>
        <w:tc>
          <w:tcPr>
            <w:tcW w:w="1915" w:type="dxa"/>
            <w:tcBorders>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4.6</w:t>
            </w:r>
          </w:p>
        </w:tc>
        <w:tc>
          <w:tcPr>
            <w:tcW w:w="1348" w:type="dxa"/>
            <w:gridSpan w:val="2"/>
            <w:tcBorders/>
            <w:shd w:fill="auto" w:val="clear"/>
          </w:tcPr>
          <w:p>
            <w:pPr>
              <w:pStyle w:val="Normal"/>
              <w:rPr/>
            </w:pPr>
            <w:r>
              <w:rPr/>
            </w:r>
          </w:p>
        </w:tc>
      </w:tr>
    </w:tbl>
    <w:p>
      <w:pPr>
        <w:pStyle w:val="Normal"/>
        <w:tabs>
          <w:tab w:val="clear" w:pos="720"/>
          <w:tab w:val="left" w:pos="0" w:leader="none"/>
        </w:tabs>
        <w:rPr>
          <w:rFonts w:ascii="Times New Roman" w:hAnsi="Times New Roman"/>
          <w:sz w:val="24"/>
          <w:szCs w:val="24"/>
        </w:rPr>
      </w:pPr>
      <w:r>
        <w:rPr>
          <w:rFonts w:ascii="Times New Roman" w:hAnsi="Times New Roman"/>
          <w:sz w:val="24"/>
          <w:szCs w:val="24"/>
        </w:rPr>
        <w:br/>
      </w:r>
      <w:r>
        <w:rPr>
          <w:rFonts w:eastAsia="Times New Roman" w:cs="Times New Roman" w:ascii="Times New Roman" w:hAnsi="Times New Roman"/>
          <w:b/>
          <w:bCs/>
          <w:color w:val="000000"/>
          <w:sz w:val="24"/>
          <w:szCs w:val="24"/>
        </w:rPr>
        <w:t xml:space="preserve">Graph B: Cumulative Dioxin Concentration WHO 2005 TEQ </w:t>
      </w:r>
      <w:r>
        <w:rPr>
          <w:rFonts w:eastAsia="Times New Roman" w:cs="Times New Roman" w:ascii="Times New Roman" w:hAnsi="Times New Roman"/>
          <w:b/>
          <w:bCs/>
          <w:sz w:val="24"/>
          <w:szCs w:val="24"/>
        </w:rPr>
        <w:t>ND=DL/2</w:t>
      </w:r>
      <w:r>
        <w:rPr>
          <w:rFonts w:eastAsia="Times New Roman" w:cs="Times New Roman" w:ascii="Times New Roman" w:hAnsi="Times New Roman"/>
          <w:b/>
          <w:bCs/>
          <w:color w:val="000000"/>
          <w:sz w:val="24"/>
          <w:szCs w:val="24"/>
        </w:rPr>
        <w:t xml:space="preserve"> (pg/g)</w:t>
      </w:r>
    </w:p>
    <w:p>
      <w:pPr>
        <w:pStyle w:val="Normal"/>
        <w:tabs>
          <w:tab w:val="clear" w:pos="720"/>
          <w:tab w:val="left" w:pos="-180" w:leader="none"/>
        </w:tabs>
        <w:ind w:hanging="180"/>
        <w:rPr>
          <w:rFonts w:ascii="Times New Roman" w:hAnsi="Times New Roman"/>
          <w:sz w:val="24"/>
          <w:szCs w:val="24"/>
        </w:rPr>
      </w:pPr>
      <w:r>
        <w:rPr/>
        <w:drawing>
          <wp:inline distT="0" distB="0" distL="0" distR="0">
            <wp:extent cx="4572000" cy="2743200"/>
            <wp:effectExtent l="0" t="0" r="0" b="0"/>
            <wp:docPr id="33"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br w:type="page"/>
      </w:r>
    </w:p>
    <w:p>
      <w:pPr>
        <w:pStyle w:val="Normal"/>
        <w:rPr>
          <w:rFonts w:ascii="Times New Roman" w:hAnsi="Times New Roman"/>
          <w:sz w:val="24"/>
          <w:szCs w:val="24"/>
        </w:rPr>
      </w:pPr>
      <w:r>
        <w:rPr>
          <w:rFonts w:eastAsia="Times New Roman" w:cs="Times New Roman" w:ascii="Avenir Medium" w:hAnsi="Avenir Medium"/>
          <w:b/>
          <w:bCs/>
          <w:color w:val="000000"/>
        </w:rPr>
        <w:t>Heavy Metals Summary – Soil</w:t>
      </w:r>
    </w:p>
    <w:p>
      <w:pPr>
        <w:pStyle w:val="Normal"/>
        <w:rPr>
          <w:rFonts w:ascii="Avenir Medium" w:hAnsi="Avenir Medium" w:eastAsia="Times New Roman" w:cs="Times New Roman"/>
          <w:b/>
          <w:b/>
          <w:bCs/>
          <w:color w:val="000000"/>
        </w:rPr>
      </w:pPr>
      <w:r>
        <w:rPr>
          <w:rFonts w:eastAsia="Times New Roman" w:cs="Times New Roman" w:ascii="Avenir Medium" w:hAnsi="Avenir Medium"/>
          <w:b/>
          <w:bCs/>
          <w:color w:val="000000"/>
        </w:rPr>
        <mc:AlternateContent>
          <mc:Choice Requires="wps">
            <w:drawing>
              <wp:anchor behindDoc="0" distT="0" distB="0" distL="114300" distR="113030" simplePos="0" locked="0" layoutInCell="1" allowOverlap="1" relativeHeight="5" wp14:anchorId="5B81405E">
                <wp:simplePos x="0" y="0"/>
                <wp:positionH relativeFrom="column">
                  <wp:posOffset>-68580</wp:posOffset>
                </wp:positionH>
                <wp:positionV relativeFrom="paragraph">
                  <wp:posOffset>221615</wp:posOffset>
                </wp:positionV>
                <wp:extent cx="5899150" cy="931545"/>
                <wp:effectExtent l="0" t="0" r="20320" b="34925"/>
                <wp:wrapSquare wrapText="bothSides"/>
                <wp:docPr id="34" name="Text Box 20"/>
                <a:graphic xmlns:a="http://schemas.openxmlformats.org/drawingml/2006/main">
                  <a:graphicData uri="http://schemas.microsoft.com/office/word/2010/wordprocessingShape">
                    <wps:wsp>
                      <wps:cNvSpPr/>
                      <wps:spPr>
                        <a:xfrm>
                          <a:off x="0" y="0"/>
                          <a:ext cx="5898600" cy="930960"/>
                        </a:xfrm>
                        <a:prstGeom prst="rect">
                          <a:avLst/>
                        </a:prstGeom>
                        <a:solidFill>
                          <a:srgbClr val="dce6f2"/>
                        </a:solidFill>
                        <a:ln>
                          <a:noFill/>
                        </a:ln>
                      </wps:spPr>
                      <wps:style>
                        <a:lnRef idx="0">
                          <a:schemeClr val="accent1"/>
                        </a:lnRef>
                        <a:fillRef idx="0">
                          <a:schemeClr val="accent1"/>
                        </a:fillRef>
                        <a:effectRef idx="0">
                          <a:schemeClr val="accent1"/>
                        </a:effectRef>
                        <a:fontRef idx="minor"/>
                      </wps:style>
                      <wps:txbx>
                        <w:txbxContent>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Interpretation</w:t>
                            </w:r>
                            <w:r>
                              <w:rPr>
                                <w:rFonts w:ascii="Times New Roman" w:hAnsi="Times New Roman"/>
                                <w:color w:val="000000"/>
                                <w:sz w:val="24"/>
                                <w:szCs w:val="24"/>
                              </w:rPr>
                              <w:t>: Some heavy metals were found in soil from your site. All levels were below Sonoma County Clean-Up Goals, and all metals except for arsenic were detected at levels below the EPA’s Screening Levels. Arsenic was detected above EPA’s Screening Level, but this is likely due to high background levels in the region.</w:t>
                            </w:r>
                          </w:p>
                          <w:p>
                            <w:pPr>
                              <w:pStyle w:val="FrameContents"/>
                              <w:tabs>
                                <w:tab w:val="clear" w:pos="720"/>
                                <w:tab w:val="left" w:pos="0" w:leader="none"/>
                              </w:tabs>
                              <w:rPr/>
                            </w:pPr>
                            <w:r>
                              <w:rPr/>
                            </w:r>
                          </w:p>
                        </w:txbxContent>
                      </wps:txbx>
                      <wps:bodyPr>
                        <a:prstTxWarp prst="textNoShape"/>
                        <a:noAutofit/>
                      </wps:bodyPr>
                    </wps:wsp>
                  </a:graphicData>
                </a:graphic>
              </wp:anchor>
            </w:drawing>
          </mc:Choice>
          <mc:Fallback>
            <w:pict>
              <v:rect id="shape_0" ID="Text Box 20" fillcolor="#dce6f2" stroked="f" style="position:absolute;margin-left:-5.4pt;margin-top:17.45pt;width:464.4pt;height:73.25pt" wp14:anchorId="5B81405E">
                <w10:wrap type="square"/>
                <v:fill o:detectmouseclick="t" type="solid" color2="#23190d"/>
                <v:stroke color="#3465a4" joinstyle="round" endcap="flat"/>
                <v:textbox>
                  <w:txbxContent>
                    <w:p>
                      <w:pPr>
                        <w:pStyle w:val="FrameContents"/>
                        <w:tabs>
                          <w:tab w:val="clear" w:pos="720"/>
                          <w:tab w:val="left" w:pos="0" w:leader="none"/>
                        </w:tabs>
                        <w:rPr>
                          <w:rFonts w:ascii="Times New Roman" w:hAnsi="Times New Roman"/>
                          <w:sz w:val="24"/>
                          <w:szCs w:val="24"/>
                        </w:rPr>
                      </w:pPr>
                      <w:r>
                        <w:rPr>
                          <w:rFonts w:ascii="Times New Roman" w:hAnsi="Times New Roman"/>
                          <w:color w:val="000000"/>
                          <w:sz w:val="24"/>
                          <w:szCs w:val="24"/>
                          <w:u w:val="single"/>
                        </w:rPr>
                        <w:t>Interpretation</w:t>
                      </w:r>
                      <w:r>
                        <w:rPr>
                          <w:rFonts w:ascii="Times New Roman" w:hAnsi="Times New Roman"/>
                          <w:color w:val="000000"/>
                          <w:sz w:val="24"/>
                          <w:szCs w:val="24"/>
                        </w:rPr>
                        <w:t>: Some heavy metals were found in soil from your site. All levels were below Sonoma County Clean-Up Goals, and all metals except for arsenic were detected at levels below the EPA’s Screening Levels. Arsenic was detected above EPA’s Screening Level, but this is likely due to high background levels in the region.</w:t>
                      </w:r>
                    </w:p>
                    <w:p>
                      <w:pPr>
                        <w:pStyle w:val="FrameContents"/>
                        <w:tabs>
                          <w:tab w:val="clear" w:pos="720"/>
                          <w:tab w:val="left" w:pos="0" w:leader="none"/>
                        </w:tabs>
                        <w:rPr/>
                      </w:pPr>
                      <w:r>
                        <w:rPr/>
                      </w:r>
                    </w:p>
                  </w:txbxContent>
                </v:textbox>
              </v:rect>
            </w:pict>
          </mc:Fallback>
        </mc:AlternateContent>
      </w:r>
    </w:p>
    <w:p>
      <w:pPr>
        <w:pStyle w:val="Normal"/>
        <w:tabs>
          <w:tab w:val="clear" w:pos="720"/>
          <w:tab w:val="left" w:pos="0" w:leader="none"/>
        </w:tabs>
        <w:rPr>
          <w:rFonts w:ascii="Calibri" w:hAnsi="Calibri"/>
        </w:rPr>
      </w:pPr>
      <w:r>
        <w:rPr>
          <w:rFonts w:ascii="Calibri" w:hAnsi="Calibri"/>
        </w:rPr>
      </w:r>
    </w:p>
    <w:p>
      <w:pPr>
        <w:pStyle w:val="Normal"/>
        <w:tabs>
          <w:tab w:val="clear" w:pos="720"/>
          <w:tab w:val="left" w:pos="0" w:leader="none"/>
        </w:tabs>
        <w:rPr>
          <w:rFonts w:ascii="Times New Roman" w:hAnsi="Times New Roman"/>
          <w:sz w:val="24"/>
          <w:szCs w:val="24"/>
        </w:rPr>
      </w:pPr>
      <w:r>
        <w:rPr>
          <w:rFonts w:ascii="Times New Roman" w:hAnsi="Times New Roman"/>
          <w:sz w:val="24"/>
          <w:szCs w:val="24"/>
        </w:rPr>
        <w:t>Table 9 compares the average heavy metals concentration from your site to regional background levels, federal (USA EPA) and state (CalEPA) soil screening levels, and to the Clean-Up Goals set by the Sonoma County Department of Health Services.</w:t>
      </w:r>
    </w:p>
    <w:p>
      <w:pPr>
        <w:pStyle w:val="Normal"/>
        <w:tabs>
          <w:tab w:val="clear" w:pos="720"/>
          <w:tab w:val="left" w:pos="0" w:leader="none"/>
        </w:tabs>
        <w:rPr>
          <w:rFonts w:ascii="Times New Roman" w:hAnsi="Times New Roman"/>
          <w:sz w:val="24"/>
          <w:szCs w:val="24"/>
        </w:rPr>
      </w:pPr>
      <w:r>
        <w:rPr>
          <w:rFonts w:ascii="Times New Roman" w:hAnsi="Times New Roman"/>
          <w:sz w:val="24"/>
          <w:szCs w:val="24"/>
        </w:rPr>
      </w:r>
    </w:p>
    <w:p>
      <w:pPr>
        <w:pStyle w:val="Normal"/>
        <w:tabs>
          <w:tab w:val="clear" w:pos="720"/>
          <w:tab w:val="left" w:pos="0" w:leader="none"/>
          <w:tab w:val="left" w:pos="997" w:leader="none"/>
        </w:tabs>
        <w:rPr>
          <w:rFonts w:ascii="Times New Roman" w:hAnsi="Times New Roman"/>
          <w:sz w:val="24"/>
          <w:szCs w:val="24"/>
        </w:rPr>
      </w:pPr>
      <w:r>
        <w:rPr>
          <w:rFonts w:eastAsia="Times New Roman" w:cs="Times New Roman" w:ascii="Times New Roman" w:hAnsi="Times New Roman"/>
          <w:b/>
          <w:bCs/>
          <w:color w:val="000000"/>
          <w:sz w:val="24"/>
          <w:szCs w:val="24"/>
        </w:rPr>
        <w:t>Table 9: Heavy Metals comparison to standards and clean up goals ND=0 (mg/kg)</w:t>
      </w:r>
      <w:r>
        <w:rPr>
          <w:rFonts w:ascii="Times New Roman" w:hAnsi="Times New Roman"/>
          <w:sz w:val="24"/>
          <w:szCs w:val="24"/>
        </w:rPr>
        <w:tab/>
      </w:r>
    </w:p>
    <w:tbl>
      <w:tblPr>
        <w:tblW w:w="9270" w:type="dxa"/>
        <w:jc w:val="left"/>
        <w:tblInd w:w="18" w:type="dxa"/>
        <w:tblCellMar>
          <w:top w:w="0" w:type="dxa"/>
          <w:left w:w="108" w:type="dxa"/>
          <w:bottom w:w="0" w:type="dxa"/>
          <w:right w:w="108" w:type="dxa"/>
        </w:tblCellMar>
        <w:tblLook w:noVBand="1" w:val="04a0" w:noHBand="0" w:lastColumn="0" w:firstColumn="1" w:lastRow="0" w:firstRow="1"/>
      </w:tblPr>
      <w:tblGrid>
        <w:gridCol w:w="1530"/>
        <w:gridCol w:w="990"/>
        <w:gridCol w:w="990"/>
        <w:gridCol w:w="990"/>
        <w:gridCol w:w="1441"/>
        <w:gridCol w:w="1080"/>
        <w:gridCol w:w="1080"/>
        <w:gridCol w:w="1168"/>
      </w:tblGrid>
      <w:tr>
        <w:trPr>
          <w:trHeight w:val="476" w:hRule="atLeast"/>
        </w:trPr>
        <w:tc>
          <w:tcPr>
            <w:tcW w:w="153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c>
          <w:tcPr>
            <w:tcW w:w="990" w:type="dxa"/>
            <w:tcBorders>
              <w:top w:val="single" w:sz="4" w:space="0" w:color="000000"/>
              <w:bottom w:val="single" w:sz="4" w:space="0" w:color="000000"/>
              <w:right w:val="single" w:sz="4" w:space="0" w:color="000000"/>
            </w:tcBorders>
            <w:shd w:color="auto" w:fill="DAEEF3" w:themeFill="accent5" w:themeFillTint="33"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SRO02</w:t>
            </w:r>
          </w:p>
        </w:tc>
        <w:tc>
          <w:tcPr>
            <w:tcW w:w="990" w:type="dxa"/>
            <w:tcBorders>
              <w:top w:val="single" w:sz="4" w:space="0" w:color="000000"/>
              <w:bottom w:val="single" w:sz="4" w:space="0" w:color="000000"/>
              <w:right w:val="single" w:sz="4" w:space="0" w:color="000000"/>
            </w:tcBorders>
            <w:shd w:color="auto" w:fill="FDE9D9" w:themeFill="accent6" w:themeFillTint="33"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ROH02</w:t>
            </w:r>
          </w:p>
        </w:tc>
        <w:tc>
          <w:tcPr>
            <w:tcW w:w="990" w:type="dxa"/>
            <w:tcBorders>
              <w:top w:val="single" w:sz="4" w:space="0" w:color="000000"/>
              <w:bottom w:val="single" w:sz="4" w:space="0" w:color="000000"/>
              <w:right w:val="single" w:sz="4" w:space="0" w:color="000000"/>
            </w:tcBorders>
            <w:shd w:color="auto" w:fill="E5DFEC" w:themeFill="accent4" w:themeFillTint="33"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PTL04</w:t>
            </w:r>
          </w:p>
        </w:tc>
        <w:tc>
          <w:tcPr>
            <w:tcW w:w="4769" w:type="dxa"/>
            <w:gridSpan w:val="4"/>
            <w:tcBorders>
              <w:top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Sonoma County Complex Fire clean-up goals.</w:t>
            </w:r>
          </w:p>
        </w:tc>
      </w:tr>
      <w:tr>
        <w:trPr>
          <w:trHeight w:val="300" w:hRule="atLeast"/>
        </w:trPr>
        <w:tc>
          <w:tcPr>
            <w:tcW w:w="1530" w:type="dxa"/>
            <w:tcBorders>
              <w:left w:val="single" w:sz="4" w:space="0" w:color="000000"/>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c>
          <w:tcPr>
            <w:tcW w:w="990"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c>
          <w:tcPr>
            <w:tcW w:w="990"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c>
          <w:tcPr>
            <w:tcW w:w="990"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AVG</w:t>
            </w:r>
          </w:p>
        </w:tc>
        <w:tc>
          <w:tcPr>
            <w:tcW w:w="1441"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Background</w:t>
            </w:r>
          </w:p>
        </w:tc>
        <w:tc>
          <w:tcPr>
            <w:tcW w:w="1080"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USA EPA RSL</w:t>
            </w:r>
          </w:p>
        </w:tc>
        <w:tc>
          <w:tcPr>
            <w:tcW w:w="1080"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CAlEPA CHHSL</w:t>
            </w:r>
          </w:p>
        </w:tc>
        <w:tc>
          <w:tcPr>
            <w:tcW w:w="1168" w:type="dxa"/>
            <w:tcBorders>
              <w:bottom w:val="single" w:sz="4" w:space="0" w:color="000000"/>
              <w:right w:val="single" w:sz="4" w:space="0" w:color="000000"/>
            </w:tcBorders>
            <w:shd w:color="auto" w:fill="auto" w:val="clear"/>
            <w:vAlign w:val="bottom"/>
          </w:tcPr>
          <w:p>
            <w:pPr>
              <w:pStyle w:val="Normal"/>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Clean-Up Goal</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Arsenic</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4.567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2.833</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2.7</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6.18</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0.7</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0.1</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6.2</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Barium</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183.33</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120</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140</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263.2</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15000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5200</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5200</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Beryllium</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0.49</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0.5767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0.303</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2079</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160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16</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Cadmium</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0.5233</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0.26</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0.43</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0.184</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71</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1.7</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1.7</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Chromium </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51.667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34</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25</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110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120000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100000</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36000</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Cobalt</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10.667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8.5</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29.2</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23</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660</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29.2</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Copper</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40.667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26</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18</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40.35</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3100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3000</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3000</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Lead</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27.333</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7.667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55.67</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39.76</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400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80</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80</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Mercury</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0.17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0.0883</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0.062</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3.19</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5.1</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18</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5.1</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Molybdenum</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0.42</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0.5967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0.4567</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0.759</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390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380</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380</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Nickel </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67.333</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16.33</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102.7</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1500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1600</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490</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Vanadium</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35.333</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41.667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22.667</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390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530</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390</w:t>
            </w:r>
          </w:p>
        </w:tc>
      </w:tr>
      <w:tr>
        <w:trPr>
          <w:trHeight w:val="300" w:hRule="atLeast"/>
        </w:trPr>
        <w:tc>
          <w:tcPr>
            <w:tcW w:w="1530" w:type="dxa"/>
            <w:tcBorders>
              <w:top w:val="single" w:sz="4" w:space="0" w:color="000000"/>
              <w:left w:val="single" w:sz="4" w:space="0" w:color="000000"/>
              <w:bottom w:val="single" w:sz="4" w:space="0" w:color="000000"/>
            </w:tcBorders>
            <w:shd w:color="auto" w:fill="auto" w:val="clear"/>
            <w:vAlign w:val="bottom"/>
          </w:tcPr>
          <w:p>
            <w:pPr>
              <w:pStyle w:val="Normal"/>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Zinc</w:t>
            </w:r>
          </w:p>
        </w:tc>
        <w:tc>
          <w:tcPr>
            <w:tcW w:w="99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180</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109.67</w:t>
            </w:r>
          </w:p>
        </w:tc>
        <w:tc>
          <w:tcPr>
            <w:tcW w:w="99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116.67</w:t>
            </w:r>
          </w:p>
        </w:tc>
        <w:tc>
          <w:tcPr>
            <w:tcW w:w="14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74.5</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23000</w:t>
            </w:r>
          </w:p>
        </w:tc>
        <w:tc>
          <w:tcPr>
            <w:tcW w:w="1080"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23000</w:t>
            </w:r>
          </w:p>
        </w:tc>
        <w:tc>
          <w:tcPr>
            <w:tcW w:w="1168"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23000</w:t>
            </w:r>
          </w:p>
        </w:tc>
      </w:tr>
    </w:tbl>
    <w:p>
      <w:pPr>
        <w:pStyle w:val="Normal"/>
        <w:tabs>
          <w:tab w:val="clear" w:pos="720"/>
          <w:tab w:val="left" w:pos="0" w:leader="none"/>
          <w:tab w:val="left" w:pos="997" w:leader="none"/>
        </w:tabs>
        <w:rPr>
          <w:rFonts w:ascii="Times New Roman" w:hAnsi="Times New Roman"/>
          <w:sz w:val="24"/>
          <w:szCs w:val="24"/>
        </w:rPr>
      </w:pPr>
      <w:r>
        <w:rPr>
          <w:rFonts w:ascii="Times New Roman" w:hAnsi="Times New Roman"/>
          <w:sz w:val="24"/>
          <w:szCs w:val="24"/>
        </w:rPr>
      </w:r>
    </w:p>
    <w:p>
      <w:pPr>
        <w:pStyle w:val="LOnormal"/>
        <w:spacing w:lineRule="auto" w:line="240"/>
        <w:jc w:val="center"/>
        <w:rPr>
          <w:rFonts w:ascii="Times New Roman" w:hAnsi="Times New Roman" w:eastAsia="Times New Roman" w:cs="Times New Roman"/>
          <w:b/>
          <w:b/>
          <w:color w:val="365F91" w:themeColor="accent1" w:themeShade="bf"/>
          <w:sz w:val="24"/>
          <w:szCs w:val="24"/>
        </w:rPr>
      </w:pPr>
      <w:r>
        <w:rPr>
          <w:rFonts w:eastAsia="Times New Roman" w:cs="Times New Roman" w:ascii="Times New Roman" w:hAnsi="Times New Roman"/>
          <w:b/>
          <w:color w:val="365F91" w:themeColor="accent1" w:themeShade="bf"/>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t>CUMULATIVE RISK ASSESSMENT</w:t>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mc:AlternateContent>
          <mc:Choice Requires="wps">
            <w:drawing>
              <wp:anchor behindDoc="0" distT="0" distB="0" distL="114300" distR="114300" simplePos="0" locked="0" layoutInCell="1" allowOverlap="1" relativeHeight="13" wp14:anchorId="1CC0D967">
                <wp:simplePos x="0" y="0"/>
                <wp:positionH relativeFrom="column">
                  <wp:posOffset>2514600</wp:posOffset>
                </wp:positionH>
                <wp:positionV relativeFrom="paragraph">
                  <wp:posOffset>104140</wp:posOffset>
                </wp:positionV>
                <wp:extent cx="3773170" cy="3773170"/>
                <wp:effectExtent l="0" t="0" r="12700" b="12700"/>
                <wp:wrapSquare wrapText="bothSides"/>
                <wp:docPr id="36" name="Picture 1" descr="https://lh6.googleusercontent.com/pR7Z9aLn-VO2zrvWerX4M55ytxrFGfbr7UA4DGj8Sgdwt8LBuBYMe8OphgupUC_suZKC4DR2tWBeNZtHJgPAPZkesQ6rwFvxZ4-SxZyrxa_Wly_LcE_C1c54pKbij0DKnDGAvSJxyA"/>
                <a:graphic xmlns:a="http://schemas.openxmlformats.org/drawingml/2006/main">
                  <a:graphicData uri="http://schemas.openxmlformats.org/drawingml/2006/picture">
                    <pic:pic xmlns:pic="http://schemas.openxmlformats.org/drawingml/2006/picture">
                      <pic:nvPicPr>
                        <pic:cNvPr id="0" name="Picture 1" descr="https://lh6.googleusercontent.com/pR7Z9aLn-VO2zrvWerX4M55ytxrFGfbr7UA4DGj8Sgdwt8LBuBYMe8OphgupUC_suZKC4DR2tWBeNZtHJgPAPZkesQ6rwFvxZ4-SxZyrxa_Wly_LcE_C1c54pKbij0DKnDGAvSJxyA"/>
                        <pic:cNvPicPr/>
                      </pic:nvPicPr>
                      <pic:blipFill>
                        <a:blip r:embed="rId8">
                          <a:extLst>
                            <a:ext uri="{BEBA8EAE-BF5A-486C-A8C5-ECC9F3942E4B}">
                              <a14:imgProps xmlns:a14="http://schemas.microsoft.com/office/drawing/2010/main">
                                <a14:imgLayer r:embed="rId9">
                                  <a14:imgEffect>
                                    <a14:brightnessContrast amount="50000" contrast="-20000"/>
                                  </a14:imgEffect>
                                </a14:imgLayer>
                              </a14:imgProps>
                            </a:ext>
                          </a:extLst>
                        </a:blip>
                        <a:stretch/>
                      </pic:blipFill>
                      <pic:spPr>
                        <a:xfrm>
                          <a:off x="0" y="0"/>
                          <a:ext cx="3772440" cy="37724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margin-left:198pt;margin-top:8.2pt;width:297pt;height:297pt" wp14:anchorId="1CC0D967" type="shapetype_75">
                <v:imagedata r:id="rId8" o:detectmouseclick="t"/>
                <w10:wrap type="none"/>
                <v:stroke color="#3465a4" joinstyle="round" endcap="flat"/>
              </v:shape>
            </w:pict>
          </mc:Fallback>
        </mc:AlternateContent>
      </w:r>
    </w:p>
    <w:p>
      <w:pPr>
        <w:pStyle w:val="Normal"/>
        <w:spacing w:lineRule="auto" w:line="24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Our cumulative assessment is broken down into the following subsections:</w:t>
      </w:r>
    </w:p>
    <w:p>
      <w:pPr>
        <w:pStyle w:val="Normal"/>
        <w:spacing w:lineRule="auto" w:line="24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Web"/>
        <w:numPr>
          <w:ilvl w:val="0"/>
          <w:numId w:val="3"/>
        </w:numPr>
        <w:spacing w:beforeAutospacing="0" w:before="0" w:afterAutospacing="0" w:after="0"/>
        <w:ind w:left="360" w:hanging="360"/>
        <w:textAlignment w:val="baseline"/>
        <w:rPr>
          <w:color w:val="000000"/>
          <w:sz w:val="24"/>
          <w:szCs w:val="24"/>
        </w:rPr>
      </w:pPr>
      <w:r>
        <w:rPr>
          <w:color w:val="000000"/>
          <w:sz w:val="24"/>
          <w:szCs w:val="24"/>
        </w:rPr>
        <w:t>Evaluation of chemical mixtures from multiple media</w:t>
        <w:br/>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Ingestion of produce</w:t>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Ingestion and dermal absorption of soil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Web"/>
        <w:numPr>
          <w:ilvl w:val="0"/>
          <w:numId w:val="3"/>
        </w:numPr>
        <w:spacing w:beforeAutospacing="0" w:before="0" w:afterAutospacing="0" w:after="0"/>
        <w:ind w:left="360" w:hanging="360"/>
        <w:textAlignment w:val="baseline"/>
        <w:rPr>
          <w:rFonts w:eastAsia="Arial"/>
          <w:color w:val="000000"/>
          <w:sz w:val="24"/>
          <w:szCs w:val="24"/>
        </w:rPr>
      </w:pPr>
      <w:r>
        <w:rPr>
          <w:color w:val="000000"/>
          <w:sz w:val="24"/>
          <w:szCs w:val="24"/>
        </w:rPr>
        <w:t xml:space="preserve">Risk-benefit analysis of chemical exposures in local produce </w:t>
        <w:br/>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 xml:space="preserve">Risk of other chemical exposures in food system </w:t>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 xml:space="preserve">Benefit of nutrition from eating produce </w:t>
      </w:r>
    </w:p>
    <w:p>
      <w:pPr>
        <w:pStyle w:val="NormalWeb"/>
        <w:spacing w:beforeAutospacing="0" w:before="0" w:afterAutospacing="0" w:after="0"/>
        <w:textAlignment w:val="baseline"/>
        <w:rPr>
          <w:color w:val="000000"/>
          <w:sz w:val="24"/>
          <w:szCs w:val="24"/>
        </w:rPr>
      </w:pPr>
      <w:r>
        <w:rPr>
          <w:color w:val="000000"/>
          <w:sz w:val="24"/>
          <w:szCs w:val="24"/>
        </w:rPr>
      </w:r>
    </w:p>
    <w:p>
      <w:pPr>
        <w:pStyle w:val="NormalWeb"/>
        <w:numPr>
          <w:ilvl w:val="0"/>
          <w:numId w:val="3"/>
        </w:numPr>
        <w:spacing w:beforeAutospacing="0" w:before="0" w:afterAutospacing="0" w:after="0"/>
        <w:ind w:left="360" w:hanging="360"/>
        <w:textAlignment w:val="baseline"/>
        <w:rPr>
          <w:rFonts w:eastAsia="Arial"/>
          <w:color w:val="000000"/>
          <w:sz w:val="24"/>
          <w:szCs w:val="24"/>
        </w:rPr>
      </w:pPr>
      <w:r>
        <w:rPr>
          <w:color w:val="000000"/>
          <w:sz w:val="24"/>
          <w:szCs w:val="24"/>
        </w:rPr>
        <w:t xml:space="preserve">Other health-impacting exposures associated with urban wildfire and local produce </w:t>
        <w:br/>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Smoke inhalation</w:t>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Social and economic stressors of wildfire, including emergency food insecurity</w:t>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Social and economic benefits associated with local produce and implications for community resilience to future disaster</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Web"/>
        <w:numPr>
          <w:ilvl w:val="0"/>
          <w:numId w:val="3"/>
        </w:numPr>
        <w:spacing w:beforeAutospacing="0" w:before="0" w:afterAutospacing="0" w:after="0"/>
        <w:ind w:left="360" w:hanging="360"/>
        <w:textAlignment w:val="baseline"/>
        <w:rPr>
          <w:rFonts w:eastAsia="Arial"/>
          <w:color w:val="000000"/>
          <w:sz w:val="24"/>
          <w:szCs w:val="24"/>
        </w:rPr>
      </w:pPr>
      <w:r>
        <w:rPr>
          <w:color w:val="000000"/>
          <w:sz w:val="24"/>
          <w:szCs w:val="24"/>
        </w:rPr>
        <w:t xml:space="preserve">Social determinants of health </w:t>
        <w:br/>
      </w:r>
    </w:p>
    <w:p>
      <w:pPr>
        <w:pStyle w:val="NormalWeb"/>
        <w:numPr>
          <w:ilvl w:val="1"/>
          <w:numId w:val="3"/>
        </w:numPr>
        <w:spacing w:beforeAutospacing="0" w:before="0" w:afterAutospacing="0" w:after="0"/>
        <w:ind w:left="1080" w:hanging="360"/>
        <w:textAlignment w:val="baseline"/>
        <w:rPr>
          <w:rFonts w:eastAsia="Arial"/>
          <w:color w:val="000000"/>
          <w:sz w:val="24"/>
          <w:szCs w:val="24"/>
        </w:rPr>
      </w:pPr>
      <w:r>
        <w:rPr>
          <w:color w:val="000000"/>
          <w:sz w:val="24"/>
          <w:szCs w:val="24"/>
        </w:rPr>
        <w:t xml:space="preserve">Evaluating the complex mixture of chemical and non-chemical exposures </w:t>
      </w:r>
    </w:p>
    <w:p>
      <w:pPr>
        <w:pStyle w:val="NormalWeb"/>
        <w:numPr>
          <w:ilvl w:val="1"/>
          <w:numId w:val="3"/>
        </w:numPr>
        <w:spacing w:beforeAutospacing="0" w:before="0" w:afterAutospacing="0" w:after="0"/>
        <w:ind w:left="1080" w:hanging="360"/>
        <w:textAlignment w:val="baseline"/>
        <w:rPr>
          <w:rFonts w:eastAsia="Arial"/>
          <w:sz w:val="24"/>
          <w:szCs w:val="24"/>
        </w:rPr>
      </w:pPr>
      <w:r>
        <w:rPr>
          <w:rFonts w:eastAsia="Times New Roman"/>
          <w:sz w:val="24"/>
          <w:szCs w:val="24"/>
        </w:rPr>
        <w:t>Evaluating vulnerability of certain populations, such as children, food insecure communities, and communities experiencing a higher level of both chemical and non-chemical exposures.</w:t>
      </w:r>
      <w:r>
        <w:rPr>
          <w:rStyle w:val="EndnoteAnchor"/>
          <w:rStyle w:val="EndnoteAnchor"/>
          <w:rFonts w:eastAsia="Times New Roman"/>
          <w:sz w:val="24"/>
          <w:szCs w:val="24"/>
        </w:rPr>
        <w:endnoteReference w:id="16"/>
      </w:r>
    </w:p>
    <w:p>
      <w:pPr>
        <w:pStyle w:val="Normal"/>
        <w:spacing w:lineRule="auto" w:line="24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rPr>
          <w:rFonts w:ascii="Avenir Medium" w:hAnsi="Avenir Medium" w:cs="Times New Roman"/>
          <w:b/>
          <w:b/>
          <w:color w:val="000000"/>
          <w:sz w:val="24"/>
          <w:szCs w:val="24"/>
        </w:rPr>
      </w:pPr>
      <w:r>
        <w:rPr>
          <w:rFonts w:cs="Times New Roman" w:ascii="Avenir Medium" w:hAnsi="Avenir Medium"/>
          <w:b/>
          <w:color w:val="000000"/>
          <w:sz w:val="24"/>
          <w:szCs w:val="24"/>
        </w:rPr>
      </w:r>
      <w:r>
        <w:br w:type="page"/>
      </w:r>
    </w:p>
    <w:p>
      <w:pPr>
        <w:pStyle w:val="Normal"/>
        <w:rPr>
          <w:rFonts w:ascii="Avenir Medium" w:hAnsi="Avenir Medium" w:cs="Times New Roman"/>
          <w:b/>
          <w:b/>
          <w:color w:val="1F497D" w:themeColor="text2"/>
          <w:sz w:val="28"/>
          <w:szCs w:val="24"/>
        </w:rPr>
      </w:pPr>
      <w:r>
        <w:rPr>
          <w:rFonts w:cs="Times New Roman" w:ascii="Avenir Medium" w:hAnsi="Avenir Medium"/>
          <w:b/>
          <w:color w:val="1F497D" w:themeColor="text2"/>
          <w:sz w:val="28"/>
          <w:szCs w:val="24"/>
        </w:rPr>
        <w:t>1. Evaluation of chemical mixtures from multiple media</w:t>
      </w:r>
    </w:p>
    <w:p>
      <w:pPr>
        <w:pStyle w:val="Normal"/>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This study examined multiple chemical groups that were likely to be present in smoke, and so an evaluation of the risk from mixtures is warranted. </w:t>
      </w:r>
      <w:r>
        <w:rPr>
          <w:rFonts w:eastAsia="Times New Roman" w:cs="Times New Roman" w:ascii="Times New Roman" w:hAnsi="Times New Roman"/>
          <w:color w:val="000000"/>
          <w:sz w:val="24"/>
          <w:szCs w:val="24"/>
          <w:lang w:val="en-US"/>
        </w:rPr>
        <w:t>In 1996, the Safe Drinking Water Act required the EPA to create methods for the evaluation of mixtures of chemicals that are likely to co-occur in specific media, and since then multiple frameworks have been tested.</w:t>
      </w:r>
      <w:r>
        <w:rPr>
          <w:rStyle w:val="EndnoteCharacters"/>
          <w:rFonts w:eastAsia="Times New Roman" w:cs="Times New Roman" w:ascii="Times New Roman" w:hAnsi="Times New Roman"/>
          <w:color w:val="000000"/>
          <w:sz w:val="24"/>
          <w:szCs w:val="24"/>
          <w:lang w:val="en-US"/>
        </w:rPr>
        <w:t xml:space="preserve"> </w:t>
      </w:r>
      <w:r>
        <w:rPr>
          <w:rStyle w:val="EndnoteAnchor"/>
          <w:rStyle w:val="EndnoteAnchor"/>
          <w:rFonts w:eastAsia="Times New Roman" w:cs="Times New Roman" w:ascii="Times New Roman" w:hAnsi="Times New Roman"/>
          <w:color w:val="000000"/>
          <w:sz w:val="24"/>
          <w:szCs w:val="24"/>
          <w:lang w:val="en-US"/>
        </w:rPr>
        <w:endnoteReference w:id="17"/>
      </w:r>
      <w:r>
        <w:rPr>
          <w:rStyle w:val="EndnoteCharacters"/>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lang w:val="en-US"/>
        </w:rPr>
        <w:t xml:space="preserve"> </w:t>
      </w:r>
      <w:r>
        <w:rPr>
          <w:rStyle w:val="EndnoteAnchor"/>
          <w:rStyle w:val="EndnoteAnchor"/>
          <w:rFonts w:eastAsia="Times New Roman" w:cs="Times New Roman" w:ascii="Times New Roman" w:hAnsi="Times New Roman"/>
          <w:color w:val="000000"/>
          <w:sz w:val="24"/>
          <w:szCs w:val="24"/>
          <w:lang w:val="en-US"/>
        </w:rPr>
        <w:endnoteReference w:id="18"/>
      </w:r>
      <w:r>
        <w:rPr>
          <w:rFonts w:eastAsia="Times New Roman" w:cs="Times New Roman" w:ascii="Times New Roman" w:hAnsi="Times New Roman"/>
          <w:color w:val="000000"/>
          <w:sz w:val="24"/>
          <w:szCs w:val="24"/>
          <w:lang w:val="en-US"/>
        </w:rPr>
        <w:t xml:space="preserve"> </w:t>
      </w:r>
    </w:p>
    <w:p>
      <w:pPr>
        <w:pStyle w:val="Normal"/>
        <w:spacing w:lineRule="auto" w:line="24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spacing w:lineRule="auto" w:line="240"/>
        <w:rPr>
          <w:rFonts w:ascii="Times New Roman" w:hAnsi="Times New Roman" w:eastAsia="Times New Roman" w:cs="Times New Roman"/>
          <w:sz w:val="20"/>
          <w:szCs w:val="20"/>
          <w:lang w:val="en-US"/>
        </w:rPr>
      </w:pPr>
      <w:r>
        <w:rPr>
          <w:rFonts w:eastAsia="Times New Roman" w:cs="Times New Roman" w:ascii="Times New Roman" w:hAnsi="Times New Roman"/>
          <w:sz w:val="24"/>
          <w:szCs w:val="24"/>
          <w:lang w:val="en-US"/>
        </w:rPr>
        <w:t>To establish cumulative risk values, we used</w:t>
      </w:r>
      <w:r>
        <w:rPr>
          <w:rFonts w:eastAsia="Times New Roman" w:cs="Times New Roman" w:ascii="Times New Roman" w:hAnsi="Times New Roman"/>
          <w:color w:val="000000"/>
          <w:sz w:val="24"/>
          <w:szCs w:val="24"/>
          <w:lang w:val="en-US"/>
        </w:rPr>
        <w:t xml:space="preserve"> OEHHA’s Air Toxics Hotspots Exposure Assessment guidance documents.</w:t>
      </w:r>
      <w:r>
        <w:rPr>
          <w:rStyle w:val="EndnoteAnchor"/>
          <w:rStyle w:val="EndnoteAnchor"/>
          <w:rFonts w:eastAsia="Times New Roman" w:cs="Times New Roman" w:ascii="Times New Roman" w:hAnsi="Times New Roman"/>
          <w:color w:val="000000"/>
          <w:sz w:val="24"/>
          <w:szCs w:val="24"/>
          <w:lang w:val="en-US"/>
        </w:rPr>
        <w:endnoteReference w:id="19"/>
      </w:r>
      <w:r>
        <w:rPr>
          <w:rFonts w:eastAsia="Times New Roman" w:cs="Times New Roman" w:ascii="Times New Roman" w:hAnsi="Times New Roman"/>
          <w:color w:val="000000"/>
          <w:sz w:val="24"/>
          <w:szCs w:val="24"/>
          <w:lang w:val="en-US"/>
        </w:rPr>
        <w:t xml:space="preserve"> As with the chemical-specific risks, this cumulative method assumes a 70-year life-time of exposure. It differs from our Proposition 65 analyses in that it calculates different risks for particular age groups, and then sums them across the 70-year life-time, which is particularly useful for behaviors such as soil ingestion, which is most likely to occur in children between 0-2 years of age.</w:t>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Avenir Medium" w:hAnsi="Avenir Medium" w:eastAsia="Times New Roman" w:cs="Times New Roman"/>
          <w:b/>
          <w:b/>
          <w:sz w:val="24"/>
          <w:szCs w:val="24"/>
          <w:lang w:val="en-US"/>
        </w:rPr>
      </w:pPr>
      <w:r>
        <w:rPr>
          <w:rFonts w:eastAsia="Times New Roman" w:cs="Times New Roman" w:ascii="Avenir Medium" w:hAnsi="Avenir Medium"/>
          <w:b/>
          <w:sz w:val="24"/>
          <w:szCs w:val="24"/>
          <w:lang w:val="en-US"/>
        </w:rPr>
        <w:t xml:space="preserve">a. Ingestion of contamination on plant tissue </w:t>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We used the calculations described in the Air Toxics Hotspots Exposure Assessment Chapter 7: “Home Produced Food Exposure Assessment”.</w:t>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We created three scenarios in our calculations: “Maximum Possible Risk,” which uses all reporting limit values for non-detected chemicals (ND=DL), “Maximum Probable Risk,” which uses half the detection limit (ND=DL/2), and “Risk from Detected Levels,” which examines only the risk from detected chemicals and counts all non-detects as zero (ND=0).</w:t>
      </w:r>
    </w:p>
    <w:p>
      <w:pPr>
        <w:pStyle w:val="Normal"/>
        <w:spacing w:lineRule="auto" w:line="240"/>
        <w:rPr>
          <w:rFonts w:ascii="Times New Roman" w:hAnsi="Times New Roman" w:eastAsia="Times New Roman" w:cs="Times New Roman"/>
          <w:b/>
          <w:b/>
          <w:i/>
          <w:i/>
          <w:color w:val="000000"/>
          <w:sz w:val="24"/>
          <w:szCs w:val="24"/>
          <w:lang w:val="en-US"/>
        </w:rPr>
      </w:pPr>
      <w:r>
        <w:rPr>
          <w:rFonts w:eastAsia="Times New Roman" w:cs="Times New Roman" w:ascii="Times New Roman" w:hAnsi="Times New Roman"/>
          <w:b/>
          <w:i/>
          <w:color w:val="000000"/>
          <w:sz w:val="24"/>
          <w:szCs w:val="24"/>
          <w:lang w:val="en-US"/>
        </w:rPr>
      </w:r>
    </w:p>
    <w:p>
      <w:pPr>
        <w:pStyle w:val="Normal"/>
        <w:spacing w:lineRule="auto" w:line="240"/>
        <w:rPr>
          <w:rFonts w:ascii="Times New Roman" w:hAnsi="Times New Roman" w:eastAsia="Times New Roman" w:cs="Times New Roman"/>
          <w:b/>
          <w:b/>
          <w:color w:val="000000"/>
          <w:sz w:val="24"/>
          <w:szCs w:val="24"/>
          <w:lang w:val="en-US"/>
        </w:rPr>
      </w:pPr>
      <w:r>
        <w:rPr>
          <w:rFonts w:eastAsia="Times New Roman" w:cs="Times New Roman" w:ascii="Times New Roman" w:hAnsi="Times New Roman"/>
          <w:b/>
          <w:color w:val="000000"/>
          <w:sz w:val="24"/>
          <w:szCs w:val="24"/>
          <w:lang w:val="en-US"/>
        </w:rPr>
        <w:t>Risk from ingestion of produce exposed to wildfire smoke</w:t>
      </w:r>
    </w:p>
    <w:tbl>
      <w:tblPr>
        <w:tblW w:w="9405" w:type="dxa"/>
        <w:jc w:val="left"/>
        <w:tblInd w:w="93" w:type="dxa"/>
        <w:tblCellMar>
          <w:top w:w="0" w:type="dxa"/>
          <w:left w:w="108" w:type="dxa"/>
          <w:bottom w:w="0" w:type="dxa"/>
          <w:right w:w="108" w:type="dxa"/>
        </w:tblCellMar>
        <w:tblLook w:noVBand="1" w:val="04a0" w:noHBand="0" w:lastColumn="0" w:firstColumn="1" w:lastRow="0" w:firstRow="1"/>
      </w:tblPr>
      <w:tblGrid>
        <w:gridCol w:w="3615"/>
        <w:gridCol w:w="1800"/>
        <w:gridCol w:w="1890"/>
        <w:gridCol w:w="2099"/>
      </w:tblGrid>
      <w:tr>
        <w:trPr>
          <w:trHeight w:val="300" w:hRule="atLeast"/>
        </w:trPr>
        <w:tc>
          <w:tcPr>
            <w:tcW w:w="361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 </w:t>
            </w:r>
          </w:p>
        </w:tc>
        <w:tc>
          <w:tcPr>
            <w:tcW w:w="1800" w:type="dxa"/>
            <w:tcBorders>
              <w:top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MAXIMUM POSSIBLE RISK ND=DL</w:t>
            </w:r>
          </w:p>
        </w:tc>
        <w:tc>
          <w:tcPr>
            <w:tcW w:w="1890" w:type="dxa"/>
            <w:tcBorders>
              <w:top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MAXIMUM PROBABLE RISK ND=DL/2</w:t>
            </w:r>
          </w:p>
        </w:tc>
        <w:tc>
          <w:tcPr>
            <w:tcW w:w="2099" w:type="dxa"/>
            <w:tcBorders>
              <w:top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RISK FROM DETECTED LEVELS  ND=0</w:t>
            </w:r>
          </w:p>
        </w:tc>
      </w:tr>
      <w:tr>
        <w:trPr>
          <w:trHeight w:val="300" w:hRule="atLeast"/>
        </w:trPr>
        <w:tc>
          <w:tcPr>
            <w:tcW w:w="3615" w:type="dxa"/>
            <w:tcBorders>
              <w:left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Lifetime Cancer Risk</w:t>
            </w:r>
          </w:p>
        </w:tc>
        <w:tc>
          <w:tcPr>
            <w:tcW w:w="1800"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0.00568</w:t>
            </w:r>
          </w:p>
        </w:tc>
        <w:tc>
          <w:tcPr>
            <w:tcW w:w="1890"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0.00288</w:t>
            </w:r>
          </w:p>
        </w:tc>
        <w:tc>
          <w:tcPr>
            <w:tcW w:w="2099"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1.28167E-09</w:t>
            </w:r>
          </w:p>
        </w:tc>
      </w:tr>
      <w:tr>
        <w:trPr>
          <w:trHeight w:val="300" w:hRule="atLeast"/>
        </w:trPr>
        <w:tc>
          <w:tcPr>
            <w:tcW w:w="3615" w:type="dxa"/>
            <w:tcBorders>
              <w:left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Cancer Cases per year attributable to local food contamination*</w:t>
            </w:r>
          </w:p>
        </w:tc>
        <w:tc>
          <w:tcPr>
            <w:tcW w:w="1800"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41</w:t>
            </w:r>
          </w:p>
        </w:tc>
        <w:tc>
          <w:tcPr>
            <w:tcW w:w="1890"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21</w:t>
            </w:r>
          </w:p>
        </w:tc>
        <w:tc>
          <w:tcPr>
            <w:tcW w:w="2099"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0</w:t>
            </w:r>
          </w:p>
        </w:tc>
      </w:tr>
    </w:tbl>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*Lifetime Cancer Risk multiplied by Sonoma County population of 500,000, divided by 70 to convert lifetime risk into a annual figure</w:t>
      </w:r>
      <w:r>
        <w:rPr>
          <w:rStyle w:val="EndnoteAnchor"/>
          <w:rStyle w:val="EndnoteAnchor"/>
          <w:rFonts w:eastAsia="Times New Roman" w:cs="Times New Roman" w:ascii="Times New Roman" w:hAnsi="Times New Roman"/>
          <w:color w:val="000000"/>
          <w:sz w:val="24"/>
          <w:szCs w:val="24"/>
          <w:lang w:val="en-US"/>
        </w:rPr>
        <w:endnoteReference w:id="20"/>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b/>
          <w:color w:val="000000"/>
          <w:sz w:val="24"/>
          <w:szCs w:val="24"/>
          <w:lang w:val="en-US"/>
        </w:rPr>
        <w:t>How to interpret the “Maximum Possible Risk”:</w:t>
      </w:r>
      <w:r>
        <w:rPr>
          <w:rFonts w:eastAsia="Times New Roman" w:cs="Times New Roman" w:ascii="Times New Roman" w:hAnsi="Times New Roman"/>
          <w:color w:val="000000"/>
          <w:sz w:val="24"/>
          <w:szCs w:val="24"/>
          <w:lang w:val="en-US"/>
        </w:rPr>
        <w:t xml:space="preserve"> </w:t>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If the entire population of Sonoma County ate only local produce every day for the rest of their lives, and that produce were contaminated at levels just below our ability to detect (ND=RL), it would lead to a life-time cancer risk of 0.00568, contributing an additional 41 cancer cases per year in Sonoma County’s 500,000 person population.</w:t>
      </w:r>
    </w:p>
    <w:p>
      <w:pPr>
        <w:pStyle w:val="Normal"/>
        <w:spacing w:lineRule="auto" w:line="240"/>
        <w:rPr>
          <w:color w:val="000000"/>
          <w:sz w:val="24"/>
          <w:szCs w:val="24"/>
        </w:rPr>
      </w:pPr>
      <w:r>
        <w:rPr>
          <w:color w:val="000000"/>
          <w:sz w:val="24"/>
          <w:szCs w:val="24"/>
        </w:rPr>
        <mc:AlternateContent>
          <mc:Choice Requires="wps">
            <w:drawing>
              <wp:anchor behindDoc="0" distT="0" distB="0" distL="114300" distR="113030" simplePos="0" locked="0" layoutInCell="1" allowOverlap="1" relativeHeight="15" wp14:anchorId="16EA73AF">
                <wp:simplePos x="0" y="0"/>
                <wp:positionH relativeFrom="column">
                  <wp:posOffset>0</wp:posOffset>
                </wp:positionH>
                <wp:positionV relativeFrom="paragraph">
                  <wp:posOffset>269240</wp:posOffset>
                </wp:positionV>
                <wp:extent cx="5899150" cy="1045210"/>
                <wp:effectExtent l="0" t="0" r="20320" b="22860"/>
                <wp:wrapSquare wrapText="bothSides"/>
                <wp:docPr id="37" name="Text Box 11"/>
                <a:graphic xmlns:a="http://schemas.openxmlformats.org/drawingml/2006/main">
                  <a:graphicData uri="http://schemas.microsoft.com/office/word/2010/wordprocessingShape">
                    <wps:wsp>
                      <wps:cNvSpPr/>
                      <wps:spPr>
                        <a:xfrm>
                          <a:off x="0" y="0"/>
                          <a:ext cx="5898600" cy="1044720"/>
                        </a:xfrm>
                        <a:prstGeom prst="rect">
                          <a:avLst/>
                        </a:prstGeom>
                        <a:solidFill>
                          <a:schemeClr val="accent6">
                            <a:lumMod val="20000"/>
                            <a:lumOff val="80000"/>
                          </a:schemeClr>
                        </a:solidFill>
                        <a:ln>
                          <a:solidFill>
                            <a:schemeClr val="accent6"/>
                          </a:solidFill>
                        </a:ln>
                      </wps:spPr>
                      <wps:style>
                        <a:lnRef idx="0">
                          <a:schemeClr val="accent1"/>
                        </a:lnRef>
                        <a:fillRef idx="0">
                          <a:schemeClr val="accent1"/>
                        </a:fillRef>
                        <a:effectRef idx="0">
                          <a:schemeClr val="accent1"/>
                        </a:effectRef>
                        <a:fontRef idx="minor"/>
                      </wps:style>
                      <wps:txbx>
                        <w:txbxContent>
                          <w:p>
                            <w:pPr>
                              <w:pStyle w:val="FrameContents"/>
                              <w:jc w:val="center"/>
                              <w:rPr>
                                <w:rFonts w:ascii="Times New Roman" w:hAnsi="Times New Roman" w:eastAsia="Times New Roman" w:cs="Times New Roman"/>
                                <w:b/>
                                <w:b/>
                                <w:i/>
                                <w:i/>
                                <w:color w:val="000000"/>
                                <w:sz w:val="32"/>
                                <w:szCs w:val="24"/>
                                <w:lang w:val="en-US"/>
                              </w:rPr>
                            </w:pPr>
                            <w:r>
                              <w:rPr>
                                <w:rFonts w:eastAsia="Times New Roman" w:cs="Times New Roman" w:ascii="Times New Roman" w:hAnsi="Times New Roman"/>
                                <w:b/>
                                <w:i/>
                                <w:color w:val="000000"/>
                                <w:sz w:val="32"/>
                                <w:szCs w:val="24"/>
                                <w:lang w:val="en-US"/>
                              </w:rPr>
                              <w:t>This method provides an extremely high overestimate of risk.</w:t>
                            </w:r>
                          </w:p>
                          <w:p>
                            <w:pPr>
                              <w:pStyle w:val="FrameContents"/>
                              <w:jc w:val="center"/>
                              <w:rPr>
                                <w:rFonts w:ascii="Times New Roman" w:hAnsi="Times New Roman" w:eastAsia="Times New Roman" w:cs="Times New Roman"/>
                                <w:i/>
                                <w:i/>
                                <w:color w:val="000000"/>
                                <w:sz w:val="24"/>
                                <w:szCs w:val="24"/>
                                <w:lang w:val="en-US"/>
                              </w:rPr>
                            </w:pPr>
                            <w:r>
                              <w:rPr>
                                <w:rFonts w:eastAsia="Times New Roman" w:cs="Times New Roman" w:ascii="Times New Roman" w:hAnsi="Times New Roman"/>
                                <w:i/>
                                <w:color w:val="000000"/>
                                <w:sz w:val="24"/>
                                <w:szCs w:val="24"/>
                                <w:lang w:val="en-US"/>
                              </w:rPr>
                              <w:br/>
                              <w:t xml:space="preserve">It’s utility is in understanding the </w:t>
                            </w:r>
                            <w:r>
                              <w:rPr>
                                <w:rFonts w:eastAsia="Times New Roman" w:cs="Times New Roman" w:ascii="Times New Roman" w:hAnsi="Times New Roman"/>
                                <w:i/>
                                <w:color w:val="000000"/>
                                <w:sz w:val="24"/>
                                <w:szCs w:val="24"/>
                                <w:u w:val="single"/>
                                <w:lang w:val="en-US"/>
                              </w:rPr>
                              <w:t>worst-possible risk scenario</w:t>
                            </w:r>
                            <w:r>
                              <w:rPr>
                                <w:rFonts w:eastAsia="Times New Roman" w:cs="Times New Roman" w:ascii="Times New Roman" w:hAnsi="Times New Roman"/>
                                <w:i/>
                                <w:color w:val="000000"/>
                                <w:sz w:val="24"/>
                                <w:szCs w:val="24"/>
                                <w:lang w:val="en-US"/>
                              </w:rPr>
                              <w:t xml:space="preserve"> given the high rate of </w:t>
                              <w:br/>
                              <w:t>non-detections in our analysis and the high detection limits for our PAH and PCB tests.</w:t>
                            </w:r>
                          </w:p>
                          <w:p>
                            <w:pPr>
                              <w:pStyle w:val="FrameContents"/>
                              <w:tabs>
                                <w:tab w:val="clear" w:pos="720"/>
                                <w:tab w:val="left" w:pos="0" w:leader="none"/>
                              </w:tabs>
                              <w:jc w:val="center"/>
                              <w:rPr>
                                <w:rFonts w:ascii="Times New Roman" w:hAnsi="Times New Roman"/>
                                <w:sz w:val="24"/>
                                <w:szCs w:val="24"/>
                              </w:rPr>
                            </w:pPr>
                            <w:r>
                              <w:rPr>
                                <w:rFonts w:ascii="Times New Roman" w:hAnsi="Times New Roman"/>
                                <w:sz w:val="24"/>
                                <w:szCs w:val="24"/>
                              </w:rPr>
                            </w:r>
                          </w:p>
                          <w:p>
                            <w:pPr>
                              <w:pStyle w:val="FrameContents"/>
                              <w:tabs>
                                <w:tab w:val="clear" w:pos="720"/>
                                <w:tab w:val="left" w:pos="0" w:leader="none"/>
                              </w:tabs>
                              <w:jc w:val="center"/>
                              <w:rPr/>
                            </w:pPr>
                            <w:r>
                              <w:rPr/>
                            </w:r>
                          </w:p>
                        </w:txbxContent>
                      </wps:txbx>
                      <wps:bodyPr>
                        <a:prstTxWarp prst="textNoShape"/>
                        <a:noAutofit/>
                      </wps:bodyPr>
                    </wps:wsp>
                  </a:graphicData>
                </a:graphic>
              </wp:anchor>
            </w:drawing>
          </mc:Choice>
          <mc:Fallback>
            <w:pict>
              <v:rect id="shape_0" ID="Text Box 11" fillcolor="#fdeada" stroked="t" style="position:absolute;margin-left:0pt;margin-top:21.2pt;width:464.4pt;height:82.2pt" wp14:anchorId="16EA73AF">
                <w10:wrap type="square"/>
                <v:fill o:detectmouseclick="t" type="solid" color2="#021525"/>
                <v:stroke color="#f79646" joinstyle="round" endcap="flat"/>
                <v:textbox>
                  <w:txbxContent>
                    <w:p>
                      <w:pPr>
                        <w:pStyle w:val="FrameContents"/>
                        <w:jc w:val="center"/>
                        <w:rPr>
                          <w:rFonts w:ascii="Times New Roman" w:hAnsi="Times New Roman" w:eastAsia="Times New Roman" w:cs="Times New Roman"/>
                          <w:b/>
                          <w:b/>
                          <w:i/>
                          <w:i/>
                          <w:color w:val="000000"/>
                          <w:sz w:val="32"/>
                          <w:szCs w:val="24"/>
                          <w:lang w:val="en-US"/>
                        </w:rPr>
                      </w:pPr>
                      <w:r>
                        <w:rPr>
                          <w:rFonts w:eastAsia="Times New Roman" w:cs="Times New Roman" w:ascii="Times New Roman" w:hAnsi="Times New Roman"/>
                          <w:b/>
                          <w:i/>
                          <w:color w:val="000000"/>
                          <w:sz w:val="32"/>
                          <w:szCs w:val="24"/>
                          <w:lang w:val="en-US"/>
                        </w:rPr>
                        <w:t>This method provides an extremely high overestimate of risk.</w:t>
                      </w:r>
                    </w:p>
                    <w:p>
                      <w:pPr>
                        <w:pStyle w:val="FrameContents"/>
                        <w:jc w:val="center"/>
                        <w:rPr>
                          <w:rFonts w:ascii="Times New Roman" w:hAnsi="Times New Roman" w:eastAsia="Times New Roman" w:cs="Times New Roman"/>
                          <w:i/>
                          <w:i/>
                          <w:color w:val="000000"/>
                          <w:sz w:val="24"/>
                          <w:szCs w:val="24"/>
                          <w:lang w:val="en-US"/>
                        </w:rPr>
                      </w:pPr>
                      <w:r>
                        <w:rPr>
                          <w:rFonts w:eastAsia="Times New Roman" w:cs="Times New Roman" w:ascii="Times New Roman" w:hAnsi="Times New Roman"/>
                          <w:i/>
                          <w:color w:val="000000"/>
                          <w:sz w:val="24"/>
                          <w:szCs w:val="24"/>
                          <w:lang w:val="en-US"/>
                        </w:rPr>
                        <w:br/>
                        <w:t xml:space="preserve">It’s utility is in understanding the </w:t>
                      </w:r>
                      <w:r>
                        <w:rPr>
                          <w:rFonts w:eastAsia="Times New Roman" w:cs="Times New Roman" w:ascii="Times New Roman" w:hAnsi="Times New Roman"/>
                          <w:i/>
                          <w:color w:val="000000"/>
                          <w:sz w:val="24"/>
                          <w:szCs w:val="24"/>
                          <w:u w:val="single"/>
                          <w:lang w:val="en-US"/>
                        </w:rPr>
                        <w:t>worst-possible risk scenario</w:t>
                      </w:r>
                      <w:r>
                        <w:rPr>
                          <w:rFonts w:eastAsia="Times New Roman" w:cs="Times New Roman" w:ascii="Times New Roman" w:hAnsi="Times New Roman"/>
                          <w:i/>
                          <w:color w:val="000000"/>
                          <w:sz w:val="24"/>
                          <w:szCs w:val="24"/>
                          <w:lang w:val="en-US"/>
                        </w:rPr>
                        <w:t xml:space="preserve"> given the high rate of </w:t>
                        <w:br/>
                        <w:t>non-detections in our analysis and the high detection limits for our PAH and PCB tests.</w:t>
                      </w:r>
                    </w:p>
                    <w:p>
                      <w:pPr>
                        <w:pStyle w:val="FrameContents"/>
                        <w:tabs>
                          <w:tab w:val="clear" w:pos="720"/>
                          <w:tab w:val="left" w:pos="0" w:leader="none"/>
                        </w:tabs>
                        <w:jc w:val="center"/>
                        <w:rPr>
                          <w:rFonts w:ascii="Times New Roman" w:hAnsi="Times New Roman"/>
                          <w:sz w:val="24"/>
                          <w:szCs w:val="24"/>
                        </w:rPr>
                      </w:pPr>
                      <w:r>
                        <w:rPr>
                          <w:rFonts w:ascii="Times New Roman" w:hAnsi="Times New Roman"/>
                          <w:sz w:val="24"/>
                          <w:szCs w:val="24"/>
                        </w:rPr>
                      </w:r>
                    </w:p>
                    <w:p>
                      <w:pPr>
                        <w:pStyle w:val="FrameContents"/>
                        <w:tabs>
                          <w:tab w:val="clear" w:pos="720"/>
                          <w:tab w:val="left" w:pos="0" w:leader="none"/>
                        </w:tabs>
                        <w:jc w:val="center"/>
                        <w:rPr/>
                      </w:pPr>
                      <w:r>
                        <w:rPr/>
                      </w:r>
                    </w:p>
                  </w:txbxContent>
                </v:textbox>
              </v:rect>
            </w:pict>
          </mc:Fallback>
        </mc:AlternateContent>
      </w:r>
    </w:p>
    <w:p>
      <w:pPr>
        <w:pStyle w:val="Normal"/>
        <w:spacing w:lineRule="auto" w:line="240"/>
        <w:rPr>
          <w:color w:val="000000"/>
          <w:sz w:val="24"/>
          <w:szCs w:val="24"/>
        </w:rPr>
      </w:pPr>
      <w:r>
        <w:rPr>
          <w:color w:val="000000"/>
          <w:sz w:val="24"/>
          <w:szCs w:val="24"/>
        </w:rPr>
      </w:r>
    </w:p>
    <w:p>
      <w:pPr>
        <w:pStyle w:val="Normal"/>
        <w:spacing w:lineRule="auto" w:line="240"/>
        <w:rPr>
          <w:rFonts w:ascii="Avenir Medium" w:hAnsi="Avenir Medium" w:cs="Times New Roman"/>
          <w:b/>
          <w:b/>
          <w:color w:val="000000"/>
          <w:sz w:val="24"/>
          <w:szCs w:val="24"/>
        </w:rPr>
      </w:pPr>
      <w:r>
        <w:rPr>
          <w:rFonts w:cs="Times New Roman" w:ascii="Avenir Medium" w:hAnsi="Avenir Medium"/>
          <w:b/>
          <w:color w:val="000000"/>
          <w:sz w:val="24"/>
          <w:szCs w:val="24"/>
        </w:rPr>
        <w:t>b. Ingestion of contamination in soil</w:t>
      </w:r>
    </w:p>
    <w:p>
      <w:pPr>
        <w:pStyle w:val="Normal"/>
        <w:spacing w:lineRule="auto" w:line="240"/>
        <w:rPr>
          <w:color w:val="000000"/>
          <w:sz w:val="24"/>
          <w:szCs w:val="24"/>
        </w:rPr>
      </w:pPr>
      <w:r>
        <w:rPr>
          <w:color w:val="000000"/>
          <w:sz w:val="24"/>
          <w:szCs w:val="24"/>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Soil ingestion is the most common pathway of exposure to chemicals in soil. Skin absorption and inhalation of dust are secondary pathways that were not considered in this analysis. To create a risk of exposure through this media, we used the calculations described in the Air Toxics Hotspots Exposure Assessment Chapter 4: “Soil Ingestion”.</w:t>
      </w:r>
    </w:p>
    <w:p>
      <w:pPr>
        <w:pStyle w:val="Normal"/>
        <w:spacing w:lineRule="auto" w:line="240"/>
        <w:rPr>
          <w:color w:val="000000"/>
          <w:sz w:val="24"/>
          <w:szCs w:val="24"/>
        </w:rPr>
      </w:pPr>
      <w:r>
        <w:rPr>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t>We used the same three risk categories as we did for ingestion of plant tissue. There were fewer non-detects in our soil samples, reducing the variation in risk between categories.</w:t>
      </w:r>
    </w:p>
    <w:p>
      <w:pPr>
        <w:pStyle w:val="Normal"/>
        <w:spacing w:lineRule="auto" w:line="240"/>
        <w:rPr>
          <w:color w:val="000000"/>
          <w:sz w:val="24"/>
          <w:szCs w:val="24"/>
        </w:rPr>
      </w:pPr>
      <w:r>
        <w:rPr>
          <w:color w:val="000000"/>
          <w:sz w:val="24"/>
          <w:szCs w:val="24"/>
        </w:rPr>
      </w:r>
    </w:p>
    <w:p>
      <w:pPr>
        <w:pStyle w:val="Normal"/>
        <w:spacing w:lineRule="auto" w:line="240"/>
        <w:rPr>
          <w:rFonts w:ascii="Times New Roman" w:hAnsi="Times New Roman" w:eastAsia="Times New Roman" w:cs="Times New Roman"/>
          <w:b/>
          <w:b/>
          <w:color w:val="000000"/>
          <w:sz w:val="24"/>
          <w:szCs w:val="24"/>
          <w:lang w:val="en-US"/>
        </w:rPr>
      </w:pPr>
      <w:r>
        <w:rPr>
          <w:rFonts w:eastAsia="Times New Roman" w:cs="Times New Roman" w:ascii="Times New Roman" w:hAnsi="Times New Roman"/>
          <w:b/>
          <w:color w:val="000000"/>
          <w:sz w:val="24"/>
          <w:szCs w:val="24"/>
          <w:lang w:val="en-US"/>
        </w:rPr>
        <w:t>Risk from ingestion of produce exposed to wildfire smoke</w:t>
      </w:r>
    </w:p>
    <w:tbl>
      <w:tblPr>
        <w:tblW w:w="9483" w:type="dxa"/>
        <w:jc w:val="left"/>
        <w:tblInd w:w="93" w:type="dxa"/>
        <w:tblCellMar>
          <w:top w:w="0" w:type="dxa"/>
          <w:left w:w="108" w:type="dxa"/>
          <w:bottom w:w="0" w:type="dxa"/>
          <w:right w:w="108" w:type="dxa"/>
        </w:tblCellMar>
        <w:tblLook w:noVBand="1" w:val="04a0" w:noHBand="0" w:lastColumn="0" w:firstColumn="1" w:lastRow="0" w:firstRow="1"/>
      </w:tblPr>
      <w:tblGrid>
        <w:gridCol w:w="3705"/>
        <w:gridCol w:w="1798"/>
        <w:gridCol w:w="1980"/>
        <w:gridCol w:w="1999"/>
      </w:tblGrid>
      <w:tr>
        <w:trPr>
          <w:trHeight w:val="300" w:hRule="atLeast"/>
        </w:trPr>
        <w:tc>
          <w:tcPr>
            <w:tcW w:w="370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 </w:t>
            </w:r>
          </w:p>
        </w:tc>
        <w:tc>
          <w:tcPr>
            <w:tcW w:w="1798" w:type="dxa"/>
            <w:tcBorders>
              <w:top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MAXIMUM POSSIBLE ND=DL</w:t>
            </w:r>
          </w:p>
        </w:tc>
        <w:tc>
          <w:tcPr>
            <w:tcW w:w="1980" w:type="dxa"/>
            <w:tcBorders>
              <w:top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MAXIMUM PROBABLE ND=DL/2</w:t>
            </w:r>
          </w:p>
        </w:tc>
        <w:tc>
          <w:tcPr>
            <w:tcW w:w="1999" w:type="dxa"/>
            <w:tcBorders>
              <w:top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RISK FROM DETECTED LEVELS  ND=0</w:t>
            </w:r>
          </w:p>
        </w:tc>
      </w:tr>
      <w:tr>
        <w:trPr>
          <w:trHeight w:val="300" w:hRule="atLeast"/>
        </w:trPr>
        <w:tc>
          <w:tcPr>
            <w:tcW w:w="3705" w:type="dxa"/>
            <w:tcBorders>
              <w:left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Lifetime Cancer Risk</w:t>
            </w:r>
          </w:p>
        </w:tc>
        <w:tc>
          <w:tcPr>
            <w:tcW w:w="1798"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0.000467</w:t>
            </w:r>
          </w:p>
        </w:tc>
        <w:tc>
          <w:tcPr>
            <w:tcW w:w="1980"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0.000467</w:t>
            </w:r>
          </w:p>
        </w:tc>
        <w:tc>
          <w:tcPr>
            <w:tcW w:w="1999"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0.000466</w:t>
            </w:r>
          </w:p>
        </w:tc>
      </w:tr>
      <w:tr>
        <w:trPr>
          <w:trHeight w:val="300" w:hRule="atLeast"/>
        </w:trPr>
        <w:tc>
          <w:tcPr>
            <w:tcW w:w="3705" w:type="dxa"/>
            <w:tcBorders>
              <w:left w:val="single" w:sz="4" w:space="0" w:color="000000"/>
              <w:bottom w:val="single" w:sz="4" w:space="0" w:color="000000"/>
              <w:right w:val="single" w:sz="4" w:space="0" w:color="000000"/>
            </w:tcBorders>
            <w:shd w:color="auto" w:fill="auto" w:val="clear"/>
            <w:vAlign w:val="bottom"/>
          </w:tcPr>
          <w:p>
            <w:pPr>
              <w:pStyle w:val="Normal"/>
              <w:spacing w:lineRule="auto" w:line="240"/>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Cancer Cases per year attributable to local food contamination*</w:t>
            </w:r>
          </w:p>
        </w:tc>
        <w:tc>
          <w:tcPr>
            <w:tcW w:w="1798"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3</w:t>
            </w:r>
          </w:p>
        </w:tc>
        <w:tc>
          <w:tcPr>
            <w:tcW w:w="1980"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3</w:t>
            </w:r>
          </w:p>
        </w:tc>
        <w:tc>
          <w:tcPr>
            <w:tcW w:w="1999" w:type="dxa"/>
            <w:tcBorders>
              <w:bottom w:val="single" w:sz="4" w:space="0" w:color="000000"/>
              <w:right w:val="single" w:sz="4" w:space="0" w:color="000000"/>
            </w:tcBorders>
            <w:shd w:color="auto" w:fill="auto" w:val="clear"/>
            <w:vAlign w:val="bottom"/>
          </w:tcPr>
          <w:p>
            <w:pPr>
              <w:pStyle w:val="Normal"/>
              <w:spacing w:lineRule="auto" w:line="240"/>
              <w:jc w:val="right"/>
              <w:rPr>
                <w:rFonts w:ascii="Calibri" w:hAnsi="Calibri" w:eastAsia="Times New Roman" w:cs="Times New Roman"/>
                <w:color w:val="000000"/>
                <w:sz w:val="24"/>
                <w:szCs w:val="24"/>
                <w:lang w:val="en-US"/>
              </w:rPr>
            </w:pPr>
            <w:r>
              <w:rPr>
                <w:rFonts w:eastAsia="Times New Roman" w:cs="Times New Roman" w:ascii="Calibri" w:hAnsi="Calibri"/>
                <w:color w:val="000000"/>
                <w:sz w:val="24"/>
                <w:szCs w:val="24"/>
                <w:lang w:val="en-US"/>
              </w:rPr>
              <w:t>3</w:t>
            </w:r>
          </w:p>
        </w:tc>
      </w:tr>
    </w:tbl>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*Lifetime Cancer Risk multiplied by Sonoma County population of 500,000, divided by 70 to convert lifetime risk into a annual figure</w:t>
      </w:r>
      <w:r>
        <w:rPr>
          <w:rStyle w:val="EndnoteAnchor"/>
          <w:rStyle w:val="EndnoteAnchor"/>
          <w:rFonts w:eastAsia="Times New Roman" w:cs="Times New Roman" w:ascii="Times New Roman" w:hAnsi="Times New Roman"/>
          <w:color w:val="000000"/>
          <w:sz w:val="24"/>
          <w:szCs w:val="24"/>
          <w:lang w:val="en-US"/>
        </w:rPr>
        <w:endnoteReference w:id="21"/>
      </w:r>
    </w:p>
    <w:p>
      <w:pPr>
        <w:pStyle w:val="Normal"/>
        <w:spacing w:lineRule="auto" w:line="240"/>
        <w:rPr>
          <w:color w:val="000000"/>
          <w:sz w:val="24"/>
          <w:szCs w:val="24"/>
        </w:rPr>
      </w:pPr>
      <w:r>
        <w:rPr>
          <w:color w:val="000000"/>
          <w:sz w:val="24"/>
          <w:szCs w:val="24"/>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b/>
          <w:color w:val="000000"/>
          <w:sz w:val="24"/>
          <w:szCs w:val="24"/>
          <w:lang w:val="en-US"/>
        </w:rPr>
        <w:t>How to interpret the “Maximum Possible Risk”:</w:t>
      </w:r>
      <w:r>
        <w:rPr>
          <w:rFonts w:eastAsia="Times New Roman" w:cs="Times New Roman" w:ascii="Times New Roman" w:hAnsi="Times New Roman"/>
          <w:color w:val="000000"/>
          <w:sz w:val="24"/>
          <w:szCs w:val="24"/>
          <w:lang w:val="en-US"/>
        </w:rPr>
        <w:t xml:space="preserve"> </w:t>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If the entire population of Sonoma County were exposed to contaminated soil every day of their life, and that soil were contaminated at levels just below our ability to detect (ND=RL), it would lead to a life-time cancer risk of 0.000467, contributing an additional 3 cancer cases per year in Sonoma County’s 500,000 person population.</w:t>
      </w:r>
    </w:p>
    <w:p>
      <w:pPr>
        <w:pStyle w:val="Normal"/>
        <w:spacing w:lineRule="auto" w:line="240"/>
        <w:rPr>
          <w:color w:val="000000"/>
          <w:sz w:val="24"/>
          <w:szCs w:val="24"/>
        </w:rPr>
      </w:pPr>
      <w:r>
        <w:rPr>
          <w:color w:val="000000"/>
          <w:sz w:val="24"/>
          <w:szCs w:val="24"/>
        </w:rPr>
      </w:r>
    </w:p>
    <w:p>
      <w:pPr>
        <w:pStyle w:val="Normal"/>
        <w:spacing w:lineRule="auto" w:line="240"/>
        <w:rPr>
          <w:rFonts w:ascii="Times New Roman" w:hAnsi="Times New Roman" w:cs="Times New Roman"/>
          <w:b/>
          <w:b/>
          <w:color w:val="000000"/>
          <w:sz w:val="24"/>
          <w:szCs w:val="24"/>
        </w:rPr>
      </w:pPr>
      <w:r>
        <w:rPr/>
        <w:drawing>
          <wp:inline distT="0" distB="0" distL="0" distR="0">
            <wp:extent cx="3886200" cy="2541905"/>
            <wp:effectExtent l="0" t="0" r="0" b="0"/>
            <wp:docPr id="39"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rFonts w:cs="Times New Roman" w:ascii="Times New Roman" w:hAnsi="Times New Roman"/>
          <w:b/>
          <w:color w:val="000000"/>
          <w:sz w:val="24"/>
          <w:szCs w:val="24"/>
        </w:rPr>
        <w:t>Lifetime cancer risk by age of exposure</w:t>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t>Over two-thirds of this total lifetime cancer risk is attributable to exposures during 0-2 years of age</w:t>
      </w:r>
    </w:p>
    <w:p>
      <w:pPr>
        <w:pStyle w:val="Normal"/>
        <w:spacing w:lineRule="auto" w:line="240"/>
        <w:rPr>
          <w:color w:val="000000"/>
          <w:sz w:val="24"/>
          <w:szCs w:val="24"/>
        </w:rPr>
      </w:pPr>
      <w:r>
        <w:rPr>
          <w:color w:val="000000"/>
          <w:sz w:val="24"/>
          <w:szCs w:val="24"/>
        </w:rPr>
      </w:r>
    </w:p>
    <w:p>
      <w:pPr>
        <w:pStyle w:val="Normal"/>
        <w:spacing w:lineRule="auto" w:line="240"/>
        <w:rPr>
          <w:color w:val="000000"/>
          <w:sz w:val="24"/>
          <w:szCs w:val="24"/>
        </w:rPr>
      </w:pPr>
      <w:r>
        <w:rPr>
          <w:color w:val="000000"/>
          <w:sz w:val="24"/>
          <w:szCs w:val="24"/>
        </w:rPr>
      </w:r>
    </w:p>
    <w:p>
      <w:pPr>
        <w:pStyle w:val="Normal"/>
        <w:spacing w:lineRule="auto" w:line="240"/>
        <w:rPr>
          <w:color w:val="000000"/>
          <w:sz w:val="24"/>
          <w:szCs w:val="24"/>
        </w:rPr>
      </w:pPr>
      <w:r>
        <w:rPr>
          <w:color w:val="000000"/>
          <w:sz w:val="24"/>
          <w:szCs w:val="24"/>
        </w:rPr>
      </w:r>
    </w:p>
    <w:p>
      <w:pPr>
        <w:pStyle w:val="Normal"/>
        <w:rPr>
          <w:rFonts w:ascii="Avenir Medium" w:hAnsi="Avenir Medium"/>
          <w:color w:val="000000"/>
          <w:sz w:val="24"/>
          <w:szCs w:val="24"/>
        </w:rPr>
      </w:pPr>
      <w:r>
        <w:rPr>
          <w:rFonts w:ascii="Avenir Medium" w:hAnsi="Avenir Medium"/>
          <w:color w:val="000000"/>
          <w:sz w:val="24"/>
          <w:szCs w:val="24"/>
        </w:rPr>
      </w:r>
      <w:r>
        <w:br w:type="page"/>
      </w:r>
    </w:p>
    <w:p>
      <w:pPr>
        <w:pStyle w:val="Normal"/>
        <w:spacing w:lineRule="auto" w:line="240"/>
        <w:rPr>
          <w:rFonts w:ascii="Avenir Medium" w:hAnsi="Avenir Medium"/>
          <w:b/>
          <w:b/>
          <w:color w:val="1F497D" w:themeColor="text2"/>
          <w:sz w:val="28"/>
          <w:szCs w:val="24"/>
        </w:rPr>
      </w:pPr>
      <w:r>
        <w:rPr>
          <w:rFonts w:ascii="Avenir Medium" w:hAnsi="Avenir Medium"/>
          <w:b/>
          <w:color w:val="1F497D" w:themeColor="text2"/>
          <w:sz w:val="28"/>
          <w:szCs w:val="24"/>
        </w:rPr>
        <w:t xml:space="preserve">2. Risk-Benefit Analysis </w:t>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t xml:space="preserve">The choice of whether or not to consume local produce following a wildfire event requires that consumers make other choices about what to eat instead. Risk-Benefit Analyses are useful tools to weigh these various choices. </w:t>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Avenir Medium" w:hAnsi="Avenir Medium" w:cs="Times New Roman"/>
          <w:b/>
          <w:b/>
          <w:color w:val="000000"/>
          <w:sz w:val="24"/>
          <w:szCs w:val="24"/>
        </w:rPr>
      </w:pPr>
      <w:r>
        <w:rPr>
          <w:rFonts w:cs="Times New Roman" w:ascii="Avenir Medium" w:hAnsi="Avenir Medium"/>
          <w:b/>
          <w:color w:val="000000"/>
          <w:sz w:val="24"/>
          <w:szCs w:val="24"/>
        </w:rPr>
        <w:t xml:space="preserve">a. Risk of other chemical exposures in food system </w:t>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t>Of the chemicals that we evaluated in this study, produce is not typically the primary route of exposure within the food system. Therefore, consumers reducing their consumption of local produce and increasing their consumption of eggs, dairy, meat, or processed foods may increase their overall chemical exposure from food.</w:t>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t xml:space="preserve">For instance: </w:t>
      </w:r>
    </w:p>
    <w:p>
      <w:pPr>
        <w:pStyle w:val="ListParagraph"/>
        <w:numPr>
          <w:ilvl w:val="0"/>
          <w:numId w:val="4"/>
        </w:numPr>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Dioxins and other fat-soluble chemicals are more likely to accumulate in meat and dairy products. The FDA dioxin monitoring project showed that, compared to fruits and vegetables, dairy products likely contribute three times more dioxins to the American diet, and meats contribute nine times more.</w:t>
      </w:r>
      <w:r>
        <w:rPr>
          <w:rStyle w:val="EndnoteAnchor"/>
          <w:rStyle w:val="EndnoteAnchor"/>
          <w:rFonts w:eastAsia="Times New Roman" w:cs="Times New Roman" w:ascii="Times New Roman" w:hAnsi="Times New Roman"/>
          <w:color w:val="000000"/>
          <w:sz w:val="24"/>
          <w:szCs w:val="24"/>
          <w:lang w:val="en-US"/>
        </w:rPr>
        <w:endnoteReference w:id="22"/>
      </w:r>
    </w:p>
    <w:p>
      <w:pPr>
        <w:pStyle w:val="ListParagraph"/>
        <w:numPr>
          <w:ilvl w:val="0"/>
          <w:numId w:val="4"/>
        </w:numPr>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Polycyclic Aromatic Hydrocarbons are most commonly found in food that has been processed (especially smoking or drying) and foods that are cooked at high temperatures. PAH levels in smoked meat and fish can be as high as 200 ug/kg.</w:t>
      </w:r>
      <w:r>
        <w:rPr>
          <w:rStyle w:val="EndnoteAnchor"/>
          <w:rStyle w:val="EndnoteAnchor"/>
          <w:rFonts w:eastAsia="Times New Roman" w:cs="Times New Roman" w:ascii="Times New Roman" w:hAnsi="Times New Roman"/>
          <w:color w:val="000000"/>
          <w:sz w:val="24"/>
          <w:szCs w:val="24"/>
          <w:lang w:val="en-US"/>
        </w:rPr>
        <w:endnoteReference w:id="23"/>
      </w:r>
      <w:r>
        <w:rPr>
          <w:rFonts w:eastAsia="Times New Roman" w:cs="Times New Roman" w:ascii="Times New Roman" w:hAnsi="Times New Roman"/>
          <w:color w:val="000000"/>
          <w:sz w:val="24"/>
          <w:szCs w:val="24"/>
          <w:lang w:val="en-US"/>
        </w:rPr>
        <w:t xml:space="preserve"> </w:t>
      </w:r>
    </w:p>
    <w:p>
      <w:pPr>
        <w:pStyle w:val="ListParagraph"/>
        <w:numPr>
          <w:ilvl w:val="0"/>
          <w:numId w:val="4"/>
        </w:numPr>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FDA’s Total Diet Study tracks heavy metals throughout the food system. Meat and processed foods are typically the highest contributors to heavy metal exposure:</w:t>
      </w:r>
    </w:p>
    <w:p>
      <w:pPr>
        <w:pStyle w:val="ListParagraph"/>
        <w:numPr>
          <w:ilvl w:val="1"/>
          <w:numId w:val="4"/>
        </w:numPr>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the highest dietary sources of </w:t>
      </w:r>
      <w:r>
        <w:rPr>
          <w:rFonts w:eastAsia="Times New Roman" w:cs="Times New Roman" w:ascii="Times New Roman" w:hAnsi="Times New Roman"/>
          <w:color w:val="000000"/>
          <w:sz w:val="24"/>
          <w:szCs w:val="24"/>
          <w:u w:val="single"/>
          <w:lang w:val="en-US"/>
        </w:rPr>
        <w:t>arsenic</w:t>
      </w:r>
      <w:r>
        <w:rPr>
          <w:rFonts w:eastAsia="Times New Roman" w:cs="Times New Roman" w:ascii="Times New Roman" w:hAnsi="Times New Roman"/>
          <w:color w:val="000000"/>
          <w:sz w:val="24"/>
          <w:szCs w:val="24"/>
          <w:lang w:val="en-US"/>
        </w:rPr>
        <w:t xml:space="preserve"> are in fish and seafood (.99mg/kg in canned tuna, 0.5 mg/kg in frozen fish sticks, 0.424 mg/g fish sandwich, .315 mg/kg in shrimp, and .293 in salmon steaks); </w:t>
      </w:r>
    </w:p>
    <w:p>
      <w:pPr>
        <w:pStyle w:val="ListParagraph"/>
        <w:numPr>
          <w:ilvl w:val="1"/>
          <w:numId w:val="4"/>
        </w:numPr>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the highest dietary sources of </w:t>
      </w:r>
      <w:r>
        <w:rPr>
          <w:rFonts w:eastAsia="Times New Roman" w:cs="Times New Roman" w:ascii="Times New Roman" w:hAnsi="Times New Roman"/>
          <w:color w:val="000000"/>
          <w:sz w:val="24"/>
          <w:szCs w:val="24"/>
          <w:u w:val="single"/>
          <w:lang w:val="en-US"/>
        </w:rPr>
        <w:t>lead</w:t>
      </w:r>
      <w:r>
        <w:rPr>
          <w:rFonts w:eastAsia="Times New Roman" w:cs="Times New Roman" w:ascii="Times New Roman" w:hAnsi="Times New Roman"/>
          <w:color w:val="000000"/>
          <w:sz w:val="24"/>
          <w:szCs w:val="24"/>
          <w:lang w:val="en-US"/>
        </w:rPr>
        <w:t xml:space="preserve"> are in processed deserts (0.01mg/kg in canned fruit cocktail, 0.011mg/kg in milk chocolate candy bar, 0.016 mg/g in chocolate syrup, 0.01 mg/kg in brownies, 0.012mg/kg in canned sweet potatoes.</w:t>
      </w:r>
    </w:p>
    <w:p>
      <w:pPr>
        <w:pStyle w:val="ListParagraph"/>
        <w:numPr>
          <w:ilvl w:val="1"/>
          <w:numId w:val="4"/>
        </w:numPr>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The highest dietary sources of </w:t>
      </w:r>
      <w:r>
        <w:rPr>
          <w:rFonts w:eastAsia="Times New Roman" w:cs="Times New Roman" w:ascii="Times New Roman" w:hAnsi="Times New Roman"/>
          <w:color w:val="000000"/>
          <w:sz w:val="24"/>
          <w:szCs w:val="24"/>
          <w:u w:val="single"/>
          <w:lang w:val="en-US"/>
        </w:rPr>
        <w:t>nickel</w:t>
      </w:r>
      <w:r>
        <w:rPr>
          <w:rFonts w:eastAsia="Times New Roman" w:cs="Times New Roman" w:ascii="Times New Roman" w:hAnsi="Times New Roman"/>
          <w:color w:val="000000"/>
          <w:sz w:val="24"/>
          <w:szCs w:val="24"/>
          <w:lang w:val="en-US"/>
        </w:rPr>
        <w:t xml:space="preserve"> are in  processed foods  (2.1mg/kg in “Oat Ring Cereal”, 0.947 in milk chocolate candy bar, 0.927 in chocolate syrup, 0.6mg/kg in chocolate chip cookies) though it is also important to note that higher levels of nickel are also found in sunflower seeds (3.2mg/kg) and legumes (0.6mg/kg dried pinto beans, 0.577 in frozen lima beans, .489mg/kg in dry roasted peanuts) </w:t>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t xml:space="preserve">Produce that is purchased from non-local sources are also at risk of contamination. </w:t>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rPr>
          <w:rFonts w:ascii="Times New Roman" w:hAnsi="Times New Roman" w:cs="Times New Roman"/>
          <w:b/>
          <w:b/>
          <w:color w:val="000000"/>
          <w:sz w:val="24"/>
          <w:szCs w:val="24"/>
        </w:rPr>
      </w:pPr>
      <w:r>
        <w:rPr>
          <w:rFonts w:cs="Times New Roman" w:ascii="Times New Roman" w:hAnsi="Times New Roman"/>
          <w:b/>
          <w:color w:val="000000"/>
          <w:sz w:val="24"/>
          <w:szCs w:val="24"/>
        </w:rPr>
        <w:br/>
        <w:t xml:space="preserve">b. Benefit of nutrition from eating produce </w:t>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widowControl w:val="false"/>
        <w:spacing w:lineRule="auto" w:line="240"/>
        <w:rPr>
          <w:rFonts w:ascii="Times New Roman" w:hAnsi="Times New Roman" w:cs="Times New Roman"/>
          <w:sz w:val="27"/>
          <w:szCs w:val="27"/>
          <w:lang w:val="en-US"/>
        </w:rPr>
      </w:pPr>
      <w:r>
        <w:rPr>
          <w:rFonts w:eastAsia="Times New Roman" w:cs="Times New Roman" w:ascii="Times New Roman" w:hAnsi="Times New Roman"/>
          <w:color w:val="000000"/>
          <w:sz w:val="24"/>
          <w:szCs w:val="24"/>
          <w:lang w:val="en-US"/>
        </w:rPr>
        <w:t>When considering the potential for contamination in local produce, some consumers may reduce their overall produce consumption. This is particularly true of communities receiving food from local food security projects. Knowing that green leafy vegetables are also some of the most nutritiously dense foods, we conducted a quantitative risk-benefit analysis for lifetime cancer risk, using the methods outlined in Reiss et al. (2012) “</w:t>
      </w:r>
      <w:r>
        <w:rPr>
          <w:rFonts w:cs="Times New Roman" w:ascii="Times New Roman" w:hAnsi="Times New Roman"/>
          <w:sz w:val="27"/>
          <w:szCs w:val="27"/>
          <w:lang w:val="en-US"/>
        </w:rPr>
        <w:t>Estimation of cancer risks and benefits associated with a potential increased consumption of fruits and vegetables.”</w:t>
      </w:r>
      <w:r>
        <w:rPr>
          <w:rFonts w:eastAsia="Times New Roman" w:cs="Times New Roman" w:ascii="Times New Roman" w:hAnsi="Times New Roman"/>
          <w:color w:val="000000"/>
          <w:sz w:val="24"/>
          <w:szCs w:val="24"/>
          <w:lang w:val="en-US"/>
        </w:rPr>
        <w:t xml:space="preserve"> </w:t>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numPr>
          <w:ilvl w:val="0"/>
          <w:numId w:val="6"/>
        </w:numPr>
        <w:spacing w:lineRule="auto" w:line="240"/>
        <w:textAlignment w:val="baseline"/>
        <w:rPr>
          <w:rFonts w:ascii="Calibri" w:hAnsi="Calibri" w:cs="Times New Roman"/>
          <w:color w:val="000000"/>
          <w:lang w:val="en-US"/>
        </w:rPr>
      </w:pPr>
      <w:r>
        <w:rPr>
          <w:rFonts w:cs="Times New Roman" w:ascii="Calibri" w:hAnsi="Calibri"/>
          <w:color w:val="000000"/>
          <w:lang w:val="en-US"/>
        </w:rPr>
        <w:t>Describe his methods</w:t>
      </w:r>
    </w:p>
    <w:p>
      <w:pPr>
        <w:pStyle w:val="Normal"/>
        <w:numPr>
          <w:ilvl w:val="0"/>
          <w:numId w:val="6"/>
        </w:numPr>
        <w:spacing w:lineRule="auto" w:line="240"/>
        <w:textAlignment w:val="baseline"/>
        <w:rPr>
          <w:rFonts w:ascii="Calibri" w:hAnsi="Calibri" w:cs="Times New Roman"/>
          <w:color w:val="000000"/>
          <w:lang w:val="en-US"/>
        </w:rPr>
      </w:pPr>
      <w:r>
        <w:rPr>
          <w:rFonts w:cs="Times New Roman" w:ascii="Calibri" w:hAnsi="Calibri"/>
          <w:color w:val="000000"/>
          <w:lang w:val="en-US"/>
        </w:rPr>
        <w:t>Similar calculations to 1.a. – but instead, we assumes half of the population increased produce consumption by 80g a day</w:t>
      </w:r>
    </w:p>
    <w:p>
      <w:pPr>
        <w:pStyle w:val="Normal"/>
        <w:numPr>
          <w:ilvl w:val="0"/>
          <w:numId w:val="6"/>
        </w:numPr>
        <w:spacing w:lineRule="auto" w:line="240"/>
        <w:textAlignment w:val="baseline"/>
        <w:rPr>
          <w:rFonts w:ascii="Calibri" w:hAnsi="Calibri" w:cs="Times New Roman"/>
          <w:color w:val="000000"/>
          <w:lang w:val="en-US"/>
        </w:rPr>
      </w:pPr>
      <w:r>
        <w:rPr>
          <w:rFonts w:cs="Times New Roman" w:ascii="Calibri" w:hAnsi="Calibri"/>
          <w:color w:val="000000"/>
          <w:lang w:val="en-US"/>
        </w:rPr>
        <w:t>Describe his cancer cases avoided method</w:t>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bookmarkStart w:id="0" w:name="_GoBack"/>
      <w:bookmarkStart w:id="1" w:name="_GoBack"/>
      <w:bookmarkEnd w:id="1"/>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drawing>
          <wp:inline distT="0" distB="0" distL="0" distR="0">
            <wp:extent cx="5943600" cy="4572000"/>
            <wp:effectExtent l="0" t="0" r="0" b="0"/>
            <wp:docPr id="40"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r>
        <w:br w:type="page"/>
      </w:r>
    </w:p>
    <w:p>
      <w:pPr>
        <w:pStyle w:val="Normal"/>
        <w:ind w:left="360" w:hanging="360"/>
        <w:rPr>
          <w:rFonts w:ascii="Avenir Medium" w:hAnsi="Avenir Medium"/>
          <w:b/>
          <w:b/>
          <w:color w:val="1F497D" w:themeColor="text2"/>
          <w:sz w:val="28"/>
          <w:szCs w:val="24"/>
        </w:rPr>
      </w:pPr>
      <w:r>
        <w:rPr>
          <w:rFonts w:ascii="Avenir Medium" w:hAnsi="Avenir Medium"/>
          <w:b/>
          <w:color w:val="1F497D" w:themeColor="text2"/>
          <w:sz w:val="28"/>
          <w:szCs w:val="24"/>
        </w:rPr>
        <w:t>3. Other health-impacting exposures associated with urban wildfire and local produce</w:t>
      </w:r>
    </w:p>
    <w:p>
      <w:pPr>
        <w:pStyle w:val="Normal"/>
        <w:ind w:left="360" w:hanging="360"/>
        <w:rPr>
          <w:rFonts w:ascii="Avenir Medium" w:hAnsi="Avenir Medium" w:eastAsia="Times New Roman" w:cs="Times New Roman"/>
          <w:b/>
          <w:b/>
          <w:color w:val="1F497D" w:themeColor="text2"/>
          <w:sz w:val="24"/>
          <w:szCs w:val="24"/>
          <w:lang w:val="en-US"/>
        </w:rPr>
      </w:pPr>
      <w:r>
        <w:rPr>
          <w:rFonts w:eastAsia="Times New Roman" w:cs="Times New Roman" w:ascii="Avenir Medium" w:hAnsi="Avenir Medium"/>
          <w:b/>
          <w:color w:val="1F497D" w:themeColor="text2"/>
          <w:sz w:val="24"/>
          <w:szCs w:val="24"/>
          <w:lang w:val="en-US"/>
        </w:rPr>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Inhalation of smoke</w:t>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Social and economic stressors of wildfire, including emergency food insecurity</w:t>
      </w:r>
    </w:p>
    <w:p>
      <w:pPr>
        <w:pStyle w:val="NormalWeb"/>
        <w:numPr>
          <w:ilvl w:val="1"/>
          <w:numId w:val="3"/>
        </w:numPr>
        <w:spacing w:beforeAutospacing="0" w:before="0" w:afterAutospacing="0" w:after="0"/>
        <w:ind w:left="1080" w:hanging="360"/>
        <w:textAlignment w:val="baseline"/>
        <w:rPr>
          <w:color w:val="000000"/>
          <w:sz w:val="24"/>
          <w:szCs w:val="24"/>
        </w:rPr>
      </w:pPr>
      <w:r>
        <w:rPr>
          <w:color w:val="000000"/>
          <w:sz w:val="24"/>
          <w:szCs w:val="24"/>
        </w:rPr>
        <w:t>Social and economic benefits associated with local produce and implications for community resilience to future disaster</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hyperlink r:id="rId12">
        <w:r>
          <w:rPr>
            <w:rStyle w:val="InternetLink"/>
            <w:rFonts w:eastAsia="Times New Roman" w:cs="Times New Roman" w:ascii="Times New Roman" w:hAnsi="Times New Roman"/>
            <w:sz w:val="24"/>
            <w:szCs w:val="24"/>
            <w:lang w:val="en-US"/>
          </w:rPr>
          <w:t>https://ehjournal.biomedcentral.com/articles/10.1186/1476-069X-11-71?TB_iframe=true&amp;width=921.6&amp;height=921.6</w:t>
        </w:r>
      </w:hyperlink>
    </w:p>
    <w:p>
      <w:pPr>
        <w:pStyle w:val="Normal"/>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SES &amp; health impact of smoke inhalation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Web"/>
        <w:numPr>
          <w:ilvl w:val="2"/>
          <w:numId w:val="7"/>
        </w:numPr>
        <w:spacing w:beforeAutospacing="0" w:before="0" w:afterAutospacing="0" w:after="0"/>
        <w:textAlignment w:val="baseline"/>
        <w:rPr>
          <w:rFonts w:ascii="Calibri" w:hAnsi="Calibri"/>
          <w:color w:val="000000"/>
          <w:sz w:val="22"/>
          <w:szCs w:val="22"/>
        </w:rPr>
      </w:pPr>
      <w:r>
        <w:rPr>
          <w:rFonts w:ascii="Calibri" w:hAnsi="Calibri"/>
          <w:color w:val="000000"/>
          <w:sz w:val="22"/>
          <w:szCs w:val="22"/>
        </w:rPr>
        <w:t>Peri-urban ag land slowed the rate of the fire to the urban area</w:t>
      </w:r>
    </w:p>
    <w:p>
      <w:pPr>
        <w:pStyle w:val="NormalWeb"/>
        <w:numPr>
          <w:ilvl w:val="2"/>
          <w:numId w:val="7"/>
        </w:numPr>
        <w:spacing w:beforeAutospacing="0" w:before="0" w:afterAutospacing="0" w:after="0"/>
        <w:textAlignment w:val="baseline"/>
        <w:rPr>
          <w:rFonts w:ascii="Calibri" w:hAnsi="Calibri"/>
          <w:color w:val="000000"/>
          <w:sz w:val="22"/>
          <w:szCs w:val="22"/>
        </w:rPr>
      </w:pPr>
      <w:r>
        <w:rPr>
          <w:rFonts w:ascii="Calibri" w:hAnsi="Calibri"/>
          <w:color w:val="000000"/>
          <w:sz w:val="22"/>
          <w:szCs w:val="22"/>
        </w:rPr>
        <w:t xml:space="preserve">Open space, environmental education, </w:t>
      </w:r>
    </w:p>
    <w:p>
      <w:pPr>
        <w:pStyle w:val="NormalWeb"/>
        <w:numPr>
          <w:ilvl w:val="2"/>
          <w:numId w:val="7"/>
        </w:numPr>
        <w:spacing w:beforeAutospacing="0" w:before="0" w:afterAutospacing="0" w:after="0"/>
        <w:textAlignment w:val="baseline"/>
        <w:rPr/>
      </w:pPr>
      <w:r>
        <w:rPr>
          <w:rFonts w:ascii="Calibri" w:hAnsi="Calibri"/>
          <w:color w:val="000000"/>
          <w:sz w:val="22"/>
          <w:szCs w:val="22"/>
        </w:rPr>
        <w:t xml:space="preserve">Resources: book Last Kid in the Woods, Restorative Commons, AHTA </w:t>
      </w:r>
      <w:hyperlink r:id="rId13">
        <w:r>
          <w:rPr>
            <w:rStyle w:val="InternetLink"/>
            <w:rFonts w:ascii="Calibri" w:hAnsi="Calibri"/>
            <w:color w:val="1155CC"/>
            <w:sz w:val="22"/>
            <w:szCs w:val="22"/>
          </w:rPr>
          <w:t>https://www.ahta.org/research-info</w:t>
        </w:r>
      </w:hyperlink>
      <w:r>
        <w:rPr>
          <w:rFonts w:ascii="Calibri" w:hAnsi="Calibri"/>
          <w:color w:val="000000"/>
          <w:sz w:val="22"/>
          <w:szCs w:val="22"/>
        </w:rPr>
        <w:t xml:space="preserve">; </w:t>
      </w:r>
    </w:p>
    <w:p>
      <w:pPr>
        <w:pStyle w:val="NormalWeb"/>
        <w:numPr>
          <w:ilvl w:val="2"/>
          <w:numId w:val="7"/>
        </w:numPr>
        <w:spacing w:beforeAutospacing="0" w:before="0" w:afterAutospacing="0" w:after="0"/>
        <w:textAlignment w:val="baseline"/>
        <w:rPr>
          <w:rFonts w:ascii="Calibri" w:hAnsi="Calibri"/>
          <w:color w:val="000000"/>
          <w:sz w:val="22"/>
          <w:szCs w:val="22"/>
        </w:rPr>
      </w:pPr>
      <w:r>
        <w:rPr>
          <w:rFonts w:ascii="Calibri" w:hAnsi="Calibri"/>
          <w:color w:val="000000"/>
          <w:sz w:val="22"/>
          <w:szCs w:val="22"/>
        </w:rPr>
        <w:t xml:space="preserve">social benefits of community garden </w:t>
      </w:r>
    </w:p>
    <w:p>
      <w:pPr>
        <w:pStyle w:val="NormalWeb"/>
        <w:numPr>
          <w:ilvl w:val="2"/>
          <w:numId w:val="7"/>
        </w:numPr>
        <w:spacing w:beforeAutospacing="0" w:before="0" w:afterAutospacing="0" w:after="0"/>
        <w:textAlignment w:val="baseline"/>
        <w:rPr>
          <w:rFonts w:ascii="Calibri" w:hAnsi="Calibri"/>
          <w:color w:val="000000"/>
          <w:sz w:val="22"/>
          <w:szCs w:val="22"/>
        </w:rPr>
      </w:pPr>
      <w:r>
        <w:rPr>
          <w:rFonts w:ascii="Calibri" w:hAnsi="Calibri"/>
          <w:color w:val="000000"/>
          <w:sz w:val="22"/>
          <w:szCs w:val="22"/>
        </w:rPr>
        <w:t>local economy benefits</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r>
        <w:br w:type="page"/>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Web"/>
        <w:spacing w:beforeAutospacing="0" w:before="0" w:afterAutospacing="0" w:after="0"/>
        <w:textAlignment w:val="baseline"/>
        <w:rPr>
          <w:rFonts w:ascii="Avenir Medium" w:hAnsi="Avenir Medium" w:eastAsia="Arial"/>
          <w:b/>
          <w:b/>
          <w:color w:val="1F497D" w:themeColor="text2"/>
          <w:sz w:val="28"/>
          <w:szCs w:val="24"/>
        </w:rPr>
      </w:pPr>
      <w:r>
        <w:rPr>
          <w:rFonts w:ascii="Avenir Medium" w:hAnsi="Avenir Medium"/>
          <w:b/>
          <w:color w:val="1F497D" w:themeColor="text2"/>
          <w:sz w:val="28"/>
          <w:szCs w:val="24"/>
        </w:rPr>
        <w:t xml:space="preserve">4. Social determinants of health </w:t>
      </w:r>
    </w:p>
    <w:p>
      <w:pPr>
        <w:pStyle w:val="NormalWeb"/>
        <w:spacing w:beforeAutospacing="0" w:before="0" w:afterAutospacing="0" w:after="0"/>
        <w:textAlignment w:val="baseline"/>
        <w:rPr>
          <w:rFonts w:ascii="Avenir Medium" w:hAnsi="Avenir Medium" w:eastAsia="Arial"/>
          <w:b/>
          <w:b/>
          <w:color w:val="1F497D" w:themeColor="text2"/>
          <w:sz w:val="28"/>
          <w:szCs w:val="24"/>
        </w:rPr>
      </w:pPr>
      <w:r>
        <w:rPr>
          <w:rFonts w:eastAsia="Arial" w:ascii="Avenir Medium" w:hAnsi="Avenir Medium"/>
          <w:b/>
          <w:color w:val="1F497D" w:themeColor="text2"/>
          <w:sz w:val="28"/>
          <w:szCs w:val="24"/>
        </w:rPr>
      </w:r>
    </w:p>
    <w:p>
      <w:pPr>
        <w:pStyle w:val="NormalWeb"/>
        <w:numPr>
          <w:ilvl w:val="1"/>
          <w:numId w:val="3"/>
        </w:numPr>
        <w:spacing w:beforeAutospacing="0" w:before="0" w:afterAutospacing="0" w:after="0"/>
        <w:ind w:left="1080" w:hanging="360"/>
        <w:textAlignment w:val="baseline"/>
        <w:rPr>
          <w:rFonts w:eastAsia="Arial"/>
          <w:color w:val="000000"/>
          <w:sz w:val="24"/>
          <w:szCs w:val="24"/>
        </w:rPr>
      </w:pPr>
      <w:r>
        <w:rPr>
          <w:color w:val="000000"/>
          <w:sz w:val="24"/>
          <w:szCs w:val="24"/>
        </w:rPr>
        <w:t xml:space="preserve">Evaluating the complex mixture of chemical and non-chemical exposures </w:t>
      </w:r>
    </w:p>
    <w:p>
      <w:pPr>
        <w:pStyle w:val="NormalWeb"/>
        <w:numPr>
          <w:ilvl w:val="1"/>
          <w:numId w:val="3"/>
        </w:numPr>
        <w:spacing w:beforeAutospacing="0" w:before="0" w:afterAutospacing="0" w:after="0"/>
        <w:ind w:left="1080" w:hanging="360"/>
        <w:textAlignment w:val="baseline"/>
        <w:rPr>
          <w:rFonts w:eastAsia="Arial"/>
          <w:sz w:val="24"/>
          <w:szCs w:val="24"/>
        </w:rPr>
      </w:pPr>
      <w:r>
        <w:rPr>
          <w:rFonts w:eastAsia="Times New Roman"/>
          <w:sz w:val="24"/>
          <w:szCs w:val="24"/>
        </w:rPr>
        <w:t>Evaluating vulnerability of certain populations, such as children, food insecure communities, and communities experiencing a higher level of both chemical and non-chemical exposures.</w:t>
      </w:r>
      <w:r>
        <w:rPr>
          <w:rStyle w:val="EndnoteAnchor"/>
          <w:rStyle w:val="EndnoteAnchor"/>
          <w:rFonts w:eastAsia="Times New Roman"/>
          <w:sz w:val="24"/>
          <w:szCs w:val="24"/>
        </w:rPr>
        <w:endnoteReference w:id="24"/>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pPr>
      <w:hyperlink r:id="rId14">
        <w:r>
          <w:rPr>
            <w:rStyle w:val="InternetLink"/>
            <w:rFonts w:eastAsia="Times New Roman" w:cs="Times New Roman" w:ascii="Times New Roman" w:hAnsi="Times New Roman"/>
            <w:sz w:val="24"/>
            <w:szCs w:val="24"/>
            <w:lang w:val="en-US"/>
          </w:rPr>
          <w:t>http://www.publish.csiro.au/WF/WF15034</w:t>
        </w:r>
      </w:hyperlink>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wildfire smoke and public health risk</w:t>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LOnormal"/>
        <w:spacing w:lineRule="auto" w:line="240"/>
        <w:jc w:val="center"/>
        <w:rPr>
          <w:rFonts w:ascii="Times New Roman" w:hAnsi="Times New Roman" w:eastAsia="Times New Roman" w:cs="Times New Roman"/>
          <w:b/>
          <w:b/>
          <w:color w:val="365F91" w:themeColor="accent1" w:themeShade="bf"/>
          <w:sz w:val="24"/>
          <w:szCs w:val="24"/>
        </w:rPr>
      </w:pPr>
      <w:r>
        <w:rPr>
          <w:rFonts w:eastAsia="Times New Roman" w:cs="Times New Roman" w:ascii="Times New Roman" w:hAnsi="Times New Roman"/>
          <w:b/>
          <w:color w:val="365F91" w:themeColor="accent1" w:themeShade="bf"/>
          <w:sz w:val="24"/>
          <w:szCs w:val="24"/>
        </w:rPr>
      </w:r>
    </w:p>
    <w:p>
      <w:pPr>
        <w:pStyle w:val="Normal"/>
        <w:rPr>
          <w:rFonts w:ascii="Times New Roman" w:hAnsi="Times New Roman" w:eastAsia="Times New Roman" w:cs="Times New Roman"/>
          <w:b/>
          <w:b/>
          <w:color w:val="365F91" w:themeColor="accent1" w:themeShade="bf"/>
          <w:sz w:val="24"/>
          <w:szCs w:val="24"/>
        </w:rPr>
      </w:pPr>
      <w:r>
        <w:rPr>
          <w:rFonts w:eastAsia="Times New Roman" w:cs="Times New Roman" w:ascii="Times New Roman" w:hAnsi="Times New Roman"/>
          <w:b/>
          <w:color w:val="365F91" w:themeColor="accent1" w:themeShade="bf"/>
          <w:sz w:val="24"/>
          <w:szCs w:val="24"/>
        </w:rPr>
      </w:r>
      <w:r>
        <w:br w:type="page"/>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t xml:space="preserve">CONCLUSIONS &amp; </w:t>
      </w:r>
    </w:p>
    <w:p>
      <w:pPr>
        <w:pStyle w:val="LOnormal"/>
        <w:spacing w:lineRule="auto" w:line="240"/>
        <w:jc w:val="center"/>
        <w:rPr>
          <w:rFonts w:ascii="Abadi MT Condensed Light" w:hAnsi="Abadi MT Condensed Light" w:eastAsia="Times New Roman" w:cs="Times New Roman"/>
          <w:b/>
          <w:b/>
          <w:color w:val="365F91" w:themeColor="accent1" w:themeShade="bf"/>
          <w:sz w:val="40"/>
          <w:szCs w:val="40"/>
        </w:rPr>
      </w:pPr>
      <w:r>
        <w:rPr>
          <w:rFonts w:eastAsia="Times New Roman" w:cs="Times New Roman" w:ascii="Abadi MT Condensed Light" w:hAnsi="Abadi MT Condensed Light"/>
          <w:b/>
          <w:color w:val="365F91" w:themeColor="accent1" w:themeShade="bf"/>
          <w:sz w:val="40"/>
          <w:szCs w:val="40"/>
        </w:rPr>
        <w:t>SUGGESTED BEST PRACTICES FOR REDUCING RISK</w:t>
      </w:r>
    </w:p>
    <w:p>
      <w:pPr>
        <w:pStyle w:val="LOnormal"/>
        <w:spacing w:lineRule="auto" w:line="240"/>
        <w:rPr>
          <w:rFonts w:ascii="Times New Roman" w:hAnsi="Times New Roman" w:eastAsia="Times New Roman" w:cs="Times New Roman"/>
          <w:color w:val="222222"/>
          <w:sz w:val="24"/>
          <w:szCs w:val="24"/>
          <w:highlight w:val="white"/>
        </w:rPr>
      </w:pPr>
      <w:r>
        <w:rPr>
          <w:rFonts w:eastAsia="Times New Roman" w:cs="Times New Roman" w:ascii="Times New Roman" w:hAnsi="Times New Roman"/>
          <w:color w:val="222222"/>
          <w:sz w:val="24"/>
          <w:szCs w:val="24"/>
          <w:highlight w:val="white"/>
        </w:rPr>
      </w:r>
    </w:p>
    <w:p>
      <w:pPr>
        <w:pStyle w:val="LOnormal"/>
        <w:spacing w:lineRule="auto" w:line="240"/>
        <w:rPr>
          <w:rFonts w:ascii="Times New Roman" w:hAnsi="Times New Roman" w:eastAsia="Times New Roman" w:cs="Times New Roman"/>
          <w:color w:val="222222"/>
          <w:sz w:val="24"/>
          <w:szCs w:val="24"/>
          <w:highlight w:val="white"/>
        </w:rPr>
      </w:pPr>
      <w:r>
        <w:rPr>
          <w:rFonts w:eastAsia="Times New Roman" w:cs="Times New Roman" w:ascii="Times New Roman" w:hAnsi="Times New Roman"/>
          <w:sz w:val="24"/>
          <w:szCs w:val="24"/>
        </w:rPr>
        <w:t xml:space="preserve">Results confirmed our hypothesis that produce was not significantly affected by the fire. Our cumulative analysis further suggests that eating trace contaminants on produce does not provide a significant chemical exposure during an urban wildfire event, and the potential cancer risk is outweighed by the cancer risk reduction from the nutritional value of eating produce. More analysis is needed on dioxin in Santa Rosa soils. </w:t>
      </w:r>
      <w:r>
        <w:rPr>
          <w:rFonts w:eastAsia="Times New Roman" w:cs="Times New Roman" w:ascii="Times New Roman" w:hAnsi="Times New Roman"/>
          <w:color w:val="222222"/>
          <w:sz w:val="24"/>
          <w:szCs w:val="24"/>
        </w:rPr>
        <w:t xml:space="preserve"> </w:t>
      </w:r>
    </w:p>
    <w:p>
      <w:pPr>
        <w:pStyle w:val="LO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LO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1"/>
          <w:numId w:val="2"/>
        </w:numPr>
        <w:tabs>
          <w:tab w:val="left" w:pos="720" w:leader="none"/>
        </w:tabs>
        <w:spacing w:lineRule="auto" w:line="240"/>
        <w:ind w:left="720" w:hanging="270"/>
        <w:textAlignment w:val="baseline"/>
        <w:rPr>
          <w:rFonts w:ascii="Times New Roman" w:hAnsi="Times New Roman" w:cs="Times New Roman"/>
          <w:color w:val="000000"/>
          <w:sz w:val="24"/>
          <w:szCs w:val="24"/>
        </w:rPr>
      </w:pPr>
      <w:r>
        <w:rPr>
          <w:rFonts w:cs="Times New Roman" w:ascii="Times New Roman" w:hAnsi="Times New Roman"/>
          <w:i/>
          <w:iCs/>
          <w:color w:val="000000"/>
          <w:sz w:val="24"/>
          <w:szCs w:val="24"/>
          <w:u w:val="single"/>
        </w:rPr>
        <w:t>Best practices for reducing risk</w:t>
      </w:r>
      <w:r>
        <w:rPr>
          <w:rFonts w:cs="Times New Roman" w:ascii="Times New Roman" w:hAnsi="Times New Roman"/>
          <w:color w:val="000000"/>
          <w:sz w:val="24"/>
          <w:szCs w:val="24"/>
        </w:rPr>
        <w:t xml:space="preserve"> </w:t>
      </w:r>
      <w:r>
        <w:rPr>
          <w:rFonts w:cs="Times New Roman" w:ascii="Times New Roman" w:hAnsi="Times New Roman"/>
          <w:i/>
          <w:color w:val="000000"/>
          <w:sz w:val="24"/>
          <w:szCs w:val="24"/>
          <w:u w:val="single"/>
        </w:rPr>
        <w:t>include</w:t>
      </w:r>
      <w:r>
        <w:rPr>
          <w:rFonts w:cs="Times New Roman" w:ascii="Times New Roman" w:hAnsi="Times New Roman"/>
          <w:color w:val="000000"/>
          <w:sz w:val="24"/>
          <w:szCs w:val="24"/>
        </w:rPr>
        <w:t xml:space="preserve">: wearing a respirator mask; washing produce thoroughly in running water; peeling root vegetables, testing soil regularly; containing and amending contaminated soil through sheet mulching, raised beds, and compost. </w:t>
      </w:r>
    </w:p>
    <w:p>
      <w:pPr>
        <w:pStyle w:val="Normal"/>
        <w:numPr>
          <w:ilvl w:val="1"/>
          <w:numId w:val="2"/>
        </w:numPr>
        <w:tabs>
          <w:tab w:val="left" w:pos="720" w:leader="none"/>
        </w:tabs>
        <w:spacing w:lineRule="auto" w:line="240"/>
        <w:ind w:left="720" w:hanging="360"/>
        <w:textAlignment w:val="baseline"/>
        <w:rPr>
          <w:rFonts w:ascii="Times New Roman" w:hAnsi="Times New Roman" w:cs="Times New Roman"/>
          <w:color w:val="000000"/>
          <w:sz w:val="24"/>
          <w:szCs w:val="24"/>
        </w:rPr>
      </w:pPr>
      <w:r>
        <w:rPr>
          <w:rFonts w:cs="Times New Roman" w:ascii="Times New Roman" w:hAnsi="Times New Roman"/>
          <w:i/>
          <w:color w:val="000000"/>
          <w:sz w:val="24"/>
          <w:szCs w:val="24"/>
          <w:u w:val="single"/>
        </w:rPr>
        <w:t>Best practices that enhance protective factors</w:t>
      </w:r>
      <w:r>
        <w:rPr>
          <w:rFonts w:cs="Times New Roman" w:ascii="Times New Roman" w:hAnsi="Times New Roman"/>
          <w:color w:val="000000"/>
          <w:sz w:val="24"/>
          <w:szCs w:val="24"/>
        </w:rPr>
        <w:t xml:space="preserve"> should also be pursued, such as increasing produce consumption to promote healthy nutrition and resilience to chemical exposures.</w:t>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LO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rPr>
          <w:rFonts w:ascii="Abadi MT Condensed Light" w:hAnsi="Abadi MT Condensed Light" w:eastAsia="Times New Roman" w:cs="Times New Roman"/>
          <w:color w:val="365F91" w:themeColor="accent1" w:themeShade="bf"/>
          <w:sz w:val="40"/>
          <w:szCs w:val="40"/>
        </w:rPr>
      </w:pPr>
      <w:r>
        <w:rPr>
          <w:rFonts w:eastAsia="Times New Roman" w:cs="Times New Roman" w:ascii="Abadi MT Condensed Light" w:hAnsi="Abadi MT Condensed Light"/>
          <w:color w:val="365F91" w:themeColor="accent1" w:themeShade="bf"/>
          <w:sz w:val="40"/>
          <w:szCs w:val="40"/>
        </w:rPr>
      </w:r>
    </w:p>
    <w:p>
      <w:pPr>
        <w:pStyle w:val="LOnormal"/>
        <w:spacing w:lineRule="auto" w:line="240"/>
        <w:rPr/>
      </w:pPr>
      <w:r>
        <w:rPr>
          <w:rFonts w:eastAsia="Times New Roman" w:cs="Times New Roman" w:ascii="Abadi MT Condensed Light" w:hAnsi="Abadi MT Condensed Light"/>
          <w:color w:val="365F91" w:themeColor="accent1" w:themeShade="bf"/>
          <w:sz w:val="40"/>
          <w:szCs w:val="40"/>
        </w:rPr>
        <w:t>REFERENCES</w:t>
      </w:r>
    </w:p>
    <w:sectPr>
      <w:headerReference w:type="default" r:id="rId15"/>
      <w:footerReference w:type="default" r:id="rId16"/>
      <w:endnotePr>
        <w:numFmt w:val="decimal"/>
      </w:endnotePr>
      <w:type w:val="nextPage"/>
      <w:pgSz w:w="12240" w:h="15840"/>
      <w:pgMar w:left="1440" w:right="1440" w:header="0" w:top="1440" w:footer="720" w:bottom="1440" w:gutter="0"/>
      <w:pgNumType w:start="1" w:fmt="decimal"/>
      <w:formProt w:val="false"/>
      <w:textDirection w:val="lrTb"/>
      <w:docGrid w:type="default" w:linePitch="100" w:charSpace="4096"/>
    </w:sectPr>
  </w:body>
</w:document>
</file>

<file path=word/endnotes.xml><?xml version="1.0" encoding="utf-8"?>
<w:end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endnote w:id="0" w:type="separator">
    <w:p>
      <w:r>
        <w:separator/>
      </w:r>
    </w:p>
  </w:endnote>
  <w:endnote w:id="1" w:type="continuationSeparator">
    <w:p>
      <w:r>
        <w:continuationSeparator/>
      </w:r>
    </w:p>
  </w:endnote>
  <w:endnote w:id="2">
    <w:p>
      <w:pPr>
        <w:pStyle w:val="LOnormal"/>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color w:val="222222"/>
          <w:sz w:val="20"/>
          <w:szCs w:val="20"/>
          <w:highlight w:val="white"/>
        </w:rPr>
        <w:t xml:space="preserve">Lemieux, Paul M. "Emissions of Organic Air Toxics from Open Burning." </w:t>
      </w:r>
      <w:r>
        <w:rPr>
          <w:rFonts w:cs="Times New Roman" w:ascii="Times New Roman" w:hAnsi="Times New Roman"/>
          <w:i/>
          <w:color w:val="222222"/>
          <w:sz w:val="20"/>
          <w:szCs w:val="20"/>
          <w:highlight w:val="white"/>
        </w:rPr>
        <w:t>Washington, DC, United States Environmental Protection Agency</w:t>
      </w:r>
      <w:r>
        <w:rPr>
          <w:rFonts w:cs="Times New Roman" w:ascii="Times New Roman" w:hAnsi="Times New Roman"/>
          <w:color w:val="222222"/>
          <w:sz w:val="20"/>
          <w:szCs w:val="20"/>
          <w:highlight w:val="white"/>
        </w:rPr>
        <w:t xml:space="preserve"> 62 (2002).</w:t>
      </w:r>
      <w:r>
        <w:rPr>
          <w:rFonts w:cs="Times New Roman" w:ascii="Times New Roman" w:hAnsi="Times New Roman"/>
          <w:color w:val="222222"/>
          <w:sz w:val="20"/>
          <w:szCs w:val="20"/>
        </w:rPr>
        <w:t xml:space="preserve"> </w:t>
      </w:r>
    </w:p>
  </w:endnote>
  <w:endnote w:id="3">
    <w:p>
      <w:pPr>
        <w:pStyle w:val="Endnote"/>
        <w:tabs>
          <w:tab w:val="clear" w:pos="720"/>
          <w:tab w:val="left" w:pos="630" w:leader="none"/>
          <w:tab w:val="left" w:pos="810" w:leader="none"/>
        </w:tabs>
        <w:spacing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rPr>
        <w:t>US Environmental Protection Agency, “How Smoke From Fires can Affect Your Health”. EPA (2017). Accessed June 6, 2018. &lt;https://airnow.gov/index.cfm?action=smoke.index&gt;</w:t>
      </w:r>
    </w:p>
  </w:endnote>
  <w:endnote w:id="4">
    <w:p>
      <w:pPr>
        <w:pStyle w:val="LOnormal"/>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color w:val="222222"/>
          <w:sz w:val="20"/>
          <w:szCs w:val="20"/>
          <w:highlight w:val="white"/>
        </w:rPr>
        <w:t xml:space="preserve">Uzu, Gaëlle, et al. "Foliar lead uptake by lettuce exposed to atmospheric fallouts." </w:t>
      </w:r>
      <w:r>
        <w:rPr>
          <w:rFonts w:cs="Times New Roman" w:ascii="Times New Roman" w:hAnsi="Times New Roman"/>
          <w:i/>
          <w:color w:val="222222"/>
          <w:sz w:val="20"/>
          <w:szCs w:val="20"/>
          <w:highlight w:val="white"/>
        </w:rPr>
        <w:t>Environmental Science &amp; Technology</w:t>
      </w:r>
      <w:r>
        <w:rPr>
          <w:rFonts w:cs="Times New Roman" w:ascii="Times New Roman" w:hAnsi="Times New Roman"/>
          <w:color w:val="222222"/>
          <w:sz w:val="20"/>
          <w:szCs w:val="20"/>
          <w:highlight w:val="white"/>
        </w:rPr>
        <w:t>44.3 (2010): 1036-1042.</w:t>
      </w:r>
    </w:p>
  </w:endnote>
  <w:endnote w:id="5">
    <w:p>
      <w:pPr>
        <w:pStyle w:val="LOnormal"/>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color w:val="222222"/>
          <w:sz w:val="20"/>
          <w:szCs w:val="20"/>
          <w:highlight w:val="white"/>
        </w:rPr>
        <w:t xml:space="preserve">Kipopoulou, A. M., E. Manoli, and C. Samara. "Bioconcentration of polycyclic aromatic hydrocarbons in vegetables grown in an industrial area." </w:t>
      </w:r>
      <w:r>
        <w:rPr>
          <w:rFonts w:cs="Times New Roman" w:ascii="Times New Roman" w:hAnsi="Times New Roman"/>
          <w:i/>
          <w:color w:val="222222"/>
          <w:sz w:val="20"/>
          <w:szCs w:val="20"/>
          <w:highlight w:val="white"/>
        </w:rPr>
        <w:t>Environmental pollution</w:t>
      </w:r>
      <w:r>
        <w:rPr>
          <w:rFonts w:cs="Times New Roman" w:ascii="Times New Roman" w:hAnsi="Times New Roman"/>
          <w:color w:val="222222"/>
          <w:sz w:val="20"/>
          <w:szCs w:val="20"/>
          <w:highlight w:val="white"/>
        </w:rPr>
        <w:t xml:space="preserve"> 106.3 (1999): 369-380.</w:t>
      </w:r>
    </w:p>
  </w:endnote>
  <w:endnote w:id="6">
    <w:p>
      <w:pPr>
        <w:pStyle w:val="LOnormal"/>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color w:val="222222"/>
          <w:sz w:val="20"/>
          <w:szCs w:val="20"/>
          <w:highlight w:val="white"/>
        </w:rPr>
        <w:t xml:space="preserve">Schreck, Eva, et al. "Metal and metalloid foliar uptake by various plant species exposed to atmospheric industrial fallout: mechanisms involved for lead." </w:t>
      </w:r>
      <w:r>
        <w:rPr>
          <w:rFonts w:cs="Times New Roman" w:ascii="Times New Roman" w:hAnsi="Times New Roman"/>
          <w:i/>
          <w:color w:val="222222"/>
          <w:sz w:val="20"/>
          <w:szCs w:val="20"/>
          <w:highlight w:val="white"/>
        </w:rPr>
        <w:t>Science of the Total Environment</w:t>
      </w:r>
      <w:r>
        <w:rPr>
          <w:rFonts w:cs="Times New Roman" w:ascii="Times New Roman" w:hAnsi="Times New Roman"/>
          <w:color w:val="222222"/>
          <w:sz w:val="20"/>
          <w:szCs w:val="20"/>
          <w:highlight w:val="white"/>
        </w:rPr>
        <w:t xml:space="preserve"> 427 (2012): 253-262.</w:t>
      </w:r>
    </w:p>
  </w:endnote>
  <w:endnote w:id="7">
    <w:p>
      <w:pPr>
        <w:pStyle w:val="Normal"/>
        <w:widowControl w:val="false"/>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lang w:val="en-US"/>
        </w:rPr>
        <w:t xml:space="preserve"> </w:t>
      </w:r>
      <w:r>
        <w:rPr>
          <w:rFonts w:cs="Times New Roman" w:ascii="Times New Roman" w:hAnsi="Times New Roman"/>
          <w:sz w:val="20"/>
          <w:szCs w:val="20"/>
          <w:lang w:val="en-US"/>
        </w:rPr>
        <w:t>Wennrich L, Popp P, Zeibig M. Polycyclic Aromatic Hydrocarbon Burden in Fruit and Vegetable Species Cultivated in Allotments in an Industrial Area. Int J Environ Anal Chem . (2002);82(10):667-690. doi:10.1080/0306731021000075401.</w:t>
      </w:r>
    </w:p>
  </w:endnote>
  <w:endnote w:id="8">
    <w:p>
      <w:pPr>
        <w:pStyle w:val="Normal"/>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rPr>
        <w:t>US Environmental Protection Agency</w:t>
      </w:r>
      <w:r>
        <w:rPr>
          <w:rFonts w:eastAsia="Times New Roman" w:cs="Times New Roman" w:ascii="Times New Roman" w:hAnsi="Times New Roman"/>
          <w:color w:val="222222"/>
          <w:sz w:val="20"/>
          <w:szCs w:val="20"/>
          <w:shd w:fill="FFFFFF" w:val="clear"/>
          <w:lang w:val="en-US"/>
        </w:rPr>
        <w:t>, “</w:t>
      </w:r>
      <w:r>
        <w:rPr>
          <w:rFonts w:eastAsia="Times New Roman" w:cs="Times New Roman" w:ascii="Times New Roman" w:hAnsi="Times New Roman"/>
          <w:sz w:val="20"/>
          <w:szCs w:val="20"/>
          <w:lang w:val="en-US"/>
        </w:rPr>
        <w:t>Toxicological Review of Benzo[a]pyrene: Executive Summary”. EPA (2017). Accessed June 6, 2018. &lt;</w:t>
      </w:r>
      <w:r>
        <w:rPr>
          <w:rFonts w:eastAsia="Times New Roman" w:cs="Times New Roman" w:ascii="Times New Roman" w:hAnsi="Times New Roman"/>
          <w:color w:val="222222"/>
          <w:sz w:val="20"/>
          <w:szCs w:val="20"/>
          <w:shd w:fill="FFFFFF" w:val="clear"/>
          <w:lang w:val="en-US"/>
        </w:rPr>
        <w:t>https://cfpub.epa.gov/ncea/iris/iris_documents/documents/subst/0136_summary.pdf&gt;</w:t>
      </w:r>
    </w:p>
  </w:endnote>
  <w:endnote w:id="9">
    <w:p>
      <w:pPr>
        <w:pStyle w:val="Normal"/>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eastAsia="Times New Roman" w:cs="Times New Roman" w:ascii="Times New Roman" w:hAnsi="Times New Roman"/>
          <w:color w:val="222222"/>
          <w:sz w:val="20"/>
          <w:szCs w:val="20"/>
          <w:shd w:fill="FFFFFF" w:val="clear"/>
          <w:lang w:val="en-US"/>
        </w:rPr>
        <w:t>World Health Organization. "Health risks of heavy metals from long-range transboundary air pollution." </w:t>
      </w:r>
      <w:r>
        <w:rPr>
          <w:rFonts w:eastAsia="Times New Roman" w:cs="Times New Roman" w:ascii="Times New Roman" w:hAnsi="Times New Roman"/>
          <w:i/>
          <w:iCs/>
          <w:color w:val="222222"/>
          <w:sz w:val="20"/>
          <w:szCs w:val="20"/>
          <w:shd w:fill="FFFFFF" w:val="clear"/>
          <w:lang w:val="en-US"/>
        </w:rPr>
        <w:t xml:space="preserve">Geneve: WHO </w:t>
      </w:r>
      <w:r>
        <w:rPr>
          <w:rFonts w:eastAsia="Times New Roman" w:cs="Times New Roman" w:ascii="Times New Roman" w:hAnsi="Times New Roman"/>
          <w:color w:val="222222"/>
          <w:sz w:val="20"/>
          <w:szCs w:val="20"/>
          <w:shd w:fill="FFFFFF" w:val="clear"/>
          <w:lang w:val="en-US"/>
        </w:rPr>
        <w:t xml:space="preserve">(2007). Accessed June 6, 2018. </w:t>
        <w:br/>
        <w:t xml:space="preserve">&lt;http://apps.who.int/iris/bitstream/handle/10665/107872/E91044.pdf;jsessionid=8E1662CB3C38663A71E5A22DF47D5418?sequence=1&gt; </w:t>
      </w:r>
    </w:p>
  </w:endnote>
  <w:endnote w:id="10">
    <w:p>
      <w:pPr>
        <w:pStyle w:val="Normal"/>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eastAsia="Times New Roman" w:cs="Times New Roman" w:ascii="Times New Roman" w:hAnsi="Times New Roman"/>
          <w:color w:val="222222"/>
          <w:sz w:val="20"/>
          <w:szCs w:val="20"/>
          <w:shd w:fill="FFFFFF" w:val="clear"/>
          <w:lang w:val="en-US"/>
        </w:rPr>
        <w:t>World Health Organization. "Exposure to dioxins and dioxin-like substances: a major public health concern." </w:t>
      </w:r>
      <w:r>
        <w:rPr>
          <w:rFonts w:eastAsia="Times New Roman" w:cs="Times New Roman" w:ascii="Times New Roman" w:hAnsi="Times New Roman"/>
          <w:i/>
          <w:iCs/>
          <w:color w:val="222222"/>
          <w:sz w:val="20"/>
          <w:szCs w:val="20"/>
          <w:shd w:fill="FFFFFF" w:val="clear"/>
          <w:lang w:val="en-US"/>
        </w:rPr>
        <w:t>Geneve: WHO</w:t>
      </w:r>
      <w:r>
        <w:rPr>
          <w:rFonts w:eastAsia="Times New Roman" w:cs="Times New Roman" w:ascii="Times New Roman" w:hAnsi="Times New Roman"/>
          <w:color w:val="222222"/>
          <w:sz w:val="20"/>
          <w:szCs w:val="20"/>
          <w:shd w:fill="FFFFFF" w:val="clear"/>
          <w:lang w:val="en-US"/>
        </w:rPr>
        <w:t> (2010). Accessed June 6, 2018. &lt;http://www.who.int/ipcs/features/dioxins.pdf&gt;</w:t>
      </w:r>
    </w:p>
  </w:endnote>
  <w:endnote w:id="11">
    <w:p>
      <w:pPr>
        <w:pStyle w:val="Endnote"/>
        <w:tabs>
          <w:tab w:val="clear" w:pos="720"/>
          <w:tab w:val="left" w:pos="630" w:leader="none"/>
        </w:tabs>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rPr>
        <w:t>Current Proposition 65 No Significant Risk Levels (NSRLs) Maximum Allowable Dose Levels (MADLs).” Office of Environmental Health and Hazard Assessment. Accessed May 2018.  &lt;</w:t>
      </w:r>
      <w:hyperlink r:id="rId1">
        <w:r>
          <w:rPr>
            <w:rStyle w:val="InternetLink"/>
            <w:rFonts w:cs="Times New Roman" w:ascii="Times New Roman" w:hAnsi="Times New Roman"/>
            <w:sz w:val="20"/>
            <w:szCs w:val="20"/>
          </w:rPr>
          <w:t>https://oehha.ca.gov/proposition-65/general-info/current-proposition-65-no-significant-risk-levels-nsrls-maximum</w:t>
        </w:r>
      </w:hyperlink>
      <w:r>
        <w:rPr>
          <w:rFonts w:cs="Times New Roman" w:ascii="Times New Roman" w:hAnsi="Times New Roman"/>
          <w:sz w:val="20"/>
          <w:szCs w:val="20"/>
        </w:rPr>
        <w:t xml:space="preserve"> &gt;</w:t>
      </w:r>
    </w:p>
  </w:endnote>
  <w:endnote w:id="12">
    <w:p>
      <w:pPr>
        <w:pStyle w:val="Endnote"/>
        <w:tabs>
          <w:tab w:val="clear" w:pos="720"/>
          <w:tab w:val="left" w:pos="630" w:leader="none"/>
        </w:tabs>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rPr>
        <w:t>Regional Screening Levels (RSLs) – Generic Tables; Updated November 2018.” Environmetnal Protection Agency. Accessed December 2018.  &lt;</w:t>
      </w:r>
      <w:hyperlink r:id="rId2">
        <w:r>
          <w:rPr>
            <w:rStyle w:val="InternetLink"/>
            <w:rFonts w:cs="Times New Roman" w:ascii="Times New Roman" w:hAnsi="Times New Roman"/>
            <w:sz w:val="20"/>
            <w:szCs w:val="20"/>
          </w:rPr>
          <w:t>https://www.epa.gov/risk/regional-screening-levels-rsls-generic-tables</w:t>
        </w:r>
      </w:hyperlink>
      <w:r>
        <w:rPr>
          <w:rFonts w:cs="Times New Roman" w:ascii="Times New Roman" w:hAnsi="Times New Roman"/>
          <w:sz w:val="20"/>
          <w:szCs w:val="20"/>
        </w:rPr>
        <w:t>&gt;</w:t>
      </w:r>
    </w:p>
  </w:endnote>
  <w:endnote w:id="13">
    <w:p>
      <w:pPr>
        <w:pStyle w:val="Endnote"/>
        <w:tabs>
          <w:tab w:val="clear" w:pos="720"/>
          <w:tab w:val="left" w:pos="630" w:leader="none"/>
        </w:tabs>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lang w:val="en-US"/>
        </w:rPr>
        <w:t>“</w:t>
      </w:r>
      <w:r>
        <w:rPr>
          <w:rFonts w:cs="Times New Roman" w:ascii="Times New Roman" w:hAnsi="Times New Roman"/>
          <w:sz w:val="20"/>
          <w:szCs w:val="20"/>
          <w:lang w:val="en-US"/>
        </w:rPr>
        <w:t>California Human Health Screening Levels (CHHSLs).” Office of Environmental Health and Hazard Assessment. Accessed December 2019. &lt;</w:t>
      </w:r>
      <w:hyperlink r:id="rId3">
        <w:r>
          <w:rPr>
            <w:rStyle w:val="InternetLink"/>
            <w:rFonts w:cs="Times New Roman" w:ascii="Times New Roman" w:hAnsi="Times New Roman"/>
            <w:sz w:val="20"/>
            <w:szCs w:val="20"/>
            <w:lang w:val="en-US"/>
          </w:rPr>
          <w:t>https://oehha.ca.gov/risk-assessment/california-human-health-screening-levels-chhsls</w:t>
        </w:r>
      </w:hyperlink>
      <w:r>
        <w:rPr>
          <w:rFonts w:cs="Times New Roman" w:ascii="Times New Roman" w:hAnsi="Times New Roman"/>
          <w:sz w:val="20"/>
          <w:szCs w:val="20"/>
          <w:lang w:val="en-US"/>
        </w:rPr>
        <w:t xml:space="preserve">&gt; </w:t>
      </w:r>
    </w:p>
  </w:endnote>
  <w:endnote w:id="14">
    <w:p>
      <w:pPr>
        <w:pStyle w:val="Endnote"/>
        <w:tabs>
          <w:tab w:val="clear" w:pos="720"/>
          <w:tab w:val="left" w:pos="630" w:leader="none"/>
        </w:tabs>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lang w:val="en-US"/>
        </w:rPr>
        <w:t>Robinson, Barbie, and Ellen Bauer. “Sonoma County Complex Fires Health Screening Level Guidance, Cleanup Goals and Background Data Sets.” Sonoma County Department of Health Services, Public Health Division. February 28, 2018.</w:t>
      </w:r>
    </w:p>
  </w:endnote>
  <w:endnote w:id="15">
    <w:p>
      <w:pPr>
        <w:pStyle w:val="Endnote"/>
        <w:tabs>
          <w:tab w:val="clear" w:pos="720"/>
          <w:tab w:val="left" w:pos="630" w:leader="none"/>
          <w:tab w:val="left" w:pos="810" w:leader="none"/>
        </w:tabs>
        <w:spacing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rPr>
        <w:t>US Environmental Protection Agency, “Integrated Risk Information System Glossary.” EPA (2011). Accesed June 6, 2018 &lt;https://iaspub.epa.gov/sor_internet/registry/termreg/searchandretrieve/</w:t>
        <w:br/>
        <w:t>glossariesandkeywordlists/search.do?details=&amp;vocabName=IRIS%20Glossary&gt;</w:t>
      </w:r>
    </w:p>
  </w:endnote>
  <w:endnote w:id="16">
    <w:p>
      <w:pPr>
        <w:pStyle w:val="Normal"/>
        <w:widowControl w:val="false"/>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lang w:val="en-US"/>
        </w:rPr>
        <w:t>Clougherty JE, Kubzansky LD. A framework for examining social stress and susceptibility to air pollution in respiratory health. Ciênc Saúde Coletiva . 2010;15(4):2059-2074. doi:10.1590/S1413-81232010000400020.</w:t>
      </w:r>
    </w:p>
  </w:endnote>
  <w:endnote w:id="17">
    <w:p>
      <w:pPr>
        <w:pStyle w:val="NormalWeb"/>
        <w:tabs>
          <w:tab w:val="clear" w:pos="720"/>
          <w:tab w:val="left" w:pos="630" w:leader="none"/>
        </w:tabs>
        <w:spacing w:beforeAutospacing="0" w:before="0" w:afterAutospacing="0" w:after="80"/>
        <w:ind w:left="720" w:hanging="720"/>
        <w:rPr/>
      </w:pPr>
      <w:r>
        <w:rPr>
          <w:rStyle w:val="EndnoteCharacters"/>
        </w:rPr>
        <w:endnoteRef/>
      </w:r>
      <w:r>
        <w:rPr/>
        <w:tab/>
        <w:t xml:space="preserve"> </w:t>
      </w:r>
      <w:r>
        <w:rPr>
          <w:rFonts w:eastAsia="Arial"/>
          <w:color w:val="000000"/>
        </w:rPr>
        <w:t xml:space="preserve">Sexton K. Cumulative Risk Assessment: An Overview of Methodological Approaches for Evaluating Combined Health Effects from Exposure to Multiple Environmental Stressors. </w:t>
      </w:r>
      <w:r>
        <w:rPr>
          <w:rFonts w:eastAsia="Arial"/>
          <w:i/>
          <w:iCs/>
          <w:color w:val="000000"/>
        </w:rPr>
        <w:t>Int J Environ Res Public Health</w:t>
      </w:r>
      <w:r>
        <w:rPr>
          <w:rFonts w:eastAsia="Arial"/>
          <w:color w:val="000000"/>
        </w:rPr>
        <w:t>. 2012;9(2):370-390. doi:10.3390/ijerph9020370.</w:t>
      </w:r>
    </w:p>
  </w:endnote>
  <w:endnote w:id="18">
    <w:p>
      <w:pPr>
        <w:pStyle w:val="NormalWeb"/>
        <w:tabs>
          <w:tab w:val="clear" w:pos="720"/>
          <w:tab w:val="left" w:pos="630" w:leader="none"/>
        </w:tabs>
        <w:spacing w:beforeAutospacing="0" w:before="0" w:afterAutospacing="0" w:after="80"/>
        <w:ind w:left="720" w:hanging="720"/>
        <w:rPr>
          <w:rFonts w:eastAsia="Arial"/>
        </w:rPr>
      </w:pPr>
      <w:r>
        <w:rPr>
          <w:rStyle w:val="EndnoteCharacters"/>
        </w:rPr>
        <w:endnoteRef/>
      </w:r>
      <w:r>
        <w:rPr/>
        <w:tab/>
        <w:t xml:space="preserve"> </w:t>
      </w:r>
      <w:r>
        <w:rPr>
          <w:rFonts w:eastAsia="Times New Roman"/>
          <w:color w:val="000000"/>
        </w:rPr>
        <w:t xml:space="preserve">Pressman JG, Richardson SD, Speth TF, et al. Concentration, Chlorination, and Chemical Analysis of Drinking Water for Disinfection Byproduct Mixtures Health Effects Research: U.S. EPA’s Four Lab Study. </w:t>
      </w:r>
      <w:r>
        <w:rPr>
          <w:rFonts w:eastAsia="Times New Roman"/>
          <w:i/>
          <w:iCs/>
          <w:color w:val="000000"/>
        </w:rPr>
        <w:t>Environ Sci Technol</w:t>
      </w:r>
      <w:r>
        <w:rPr>
          <w:rFonts w:eastAsia="Times New Roman"/>
          <w:color w:val="000000"/>
        </w:rPr>
        <w:t>. 2010;44(19):7184-7192. doi:10.1021/es9039314.</w:t>
      </w:r>
    </w:p>
    <w:p>
      <w:pPr>
        <w:pStyle w:val="Endnote"/>
        <w:tabs>
          <w:tab w:val="clear" w:pos="720"/>
          <w:tab w:val="left" w:pos="630" w:leader="none"/>
        </w:tabs>
        <w:ind w:left="720" w:hanging="720"/>
        <w:rPr/>
      </w:pPr>
      <w:r>
        <w:rPr/>
      </w:r>
    </w:p>
  </w:endnote>
  <w:endnote w:id="19">
    <w:p>
      <w:pPr>
        <w:pStyle w:val="Endnote"/>
        <w:tabs>
          <w:tab w:val="clear" w:pos="720"/>
          <w:tab w:val="left" w:pos="630" w:leader="none"/>
        </w:tabs>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rPr>
        <w:t>Notice of adoption of technical support document for exposure assessment and stochastic analysis Aug 2012.” Office of Enironmetnal health and Hazard Assessment. Accessed December 2018. &lt;https://oehha.ca.gov/air/crnr/notice-adoption-technical-support-document-exposure-assessment-and-stochastic-analysis-aug&gt;</w:t>
      </w:r>
    </w:p>
  </w:endnote>
  <w:endnote w:id="20">
    <w:p>
      <w:pPr>
        <w:pStyle w:val="Endnote"/>
        <w:tabs>
          <w:tab w:val="clear" w:pos="720"/>
          <w:tab w:val="left" w:pos="630" w:leader="none"/>
        </w:tabs>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lang w:val="en-US"/>
        </w:rPr>
        <w:t>Reiss et al</w:t>
      </w:r>
    </w:p>
  </w:endnote>
  <w:endnote w:id="21">
    <w:p>
      <w:pPr>
        <w:pStyle w:val="Endnote"/>
        <w:tabs>
          <w:tab w:val="clear" w:pos="720"/>
          <w:tab w:val="left" w:pos="630" w:leader="none"/>
        </w:tabs>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lang w:val="en-US"/>
        </w:rPr>
        <w:t>Reiss et al</w:t>
      </w:r>
    </w:p>
  </w:endnote>
  <w:endnote w:id="22">
    <w:p>
      <w:pPr>
        <w:pStyle w:val="Normal"/>
        <w:tabs>
          <w:tab w:val="clear" w:pos="720"/>
          <w:tab w:val="left" w:pos="630" w:leader="none"/>
        </w:tabs>
        <w:ind w:left="720" w:hanging="720"/>
        <w:rPr/>
      </w:pPr>
      <w:r>
        <w:rPr>
          <w:rStyle w:val="EndnoteCharacters"/>
        </w:rPr>
        <w:endnoteRef/>
      </w:r>
      <w:r>
        <w:rPr>
          <w:rFonts w:cs="Times New Roman" w:ascii="Times New Roman" w:hAnsi="Times New Roman"/>
          <w:sz w:val="20"/>
          <w:szCs w:val="20"/>
        </w:rPr>
        <w:tab/>
        <w:t xml:space="preserve"> “</w:t>
      </w:r>
      <w:hyperlink r:id="rId4">
        <w:r>
          <w:rPr>
            <w:rStyle w:val="InternetLink"/>
            <w:rFonts w:eastAsia="Times New Roman" w:cs="Times New Roman" w:ascii="Times New Roman" w:hAnsi="Times New Roman"/>
            <w:color w:val="005F9F"/>
            <w:sz w:val="20"/>
            <w:szCs w:val="20"/>
            <w:highlight w:val="white"/>
          </w:rPr>
          <w:t> </w:t>
        </w:r>
        <w:r>
          <w:rPr>
            <w:rStyle w:val="InternetLink"/>
            <w:rFonts w:eastAsia="Times New Roman" w:cs="Times New Roman" w:ascii="Times New Roman" w:hAnsi="Times New Roman"/>
            <w:color w:val="005F9F"/>
            <w:sz w:val="20"/>
            <w:szCs w:val="20"/>
            <w:highlight w:val="white"/>
          </w:rPr>
          <w:t>2001-2004 PCDD/PCDF Exposure Estimates</w:t>
        </w:r>
      </w:hyperlink>
      <w:r>
        <w:rPr>
          <w:rFonts w:eastAsia="Times New Roman" w:cs="Times New Roman" w:ascii="Times New Roman" w:hAnsi="Times New Roman"/>
          <w:sz w:val="20"/>
          <w:szCs w:val="20"/>
        </w:rPr>
        <w:t>; Based on PCDD/PCDF Concentrations assuming ND=0”. Food and Drug Administration. Acccessed January 2019 &lt;</w:t>
      </w:r>
      <w:r>
        <w:rPr>
          <w:rFonts w:cs="Times New Roman" w:ascii="Times New Roman" w:hAnsi="Times New Roman"/>
          <w:sz w:val="20"/>
          <w:szCs w:val="20"/>
        </w:rPr>
        <w:t xml:space="preserve"> </w:t>
      </w:r>
      <w:r>
        <w:rPr>
          <w:rFonts w:eastAsia="Times New Roman" w:cs="Times New Roman" w:ascii="Times New Roman" w:hAnsi="Times New Roman"/>
          <w:sz w:val="20"/>
          <w:szCs w:val="20"/>
        </w:rPr>
        <w:t>https://wayback.archive-it.org/7993/20170406021806/https://www.fda.gov/Food/FoodborneIllnessContaminants/ChemicalContaminants/ucm077498.htm&gt;</w:t>
      </w:r>
    </w:p>
  </w:endnote>
  <w:endnote w:id="23">
    <w:p>
      <w:pPr>
        <w:pStyle w:val="Endnote"/>
        <w:tabs>
          <w:tab w:val="clear" w:pos="720"/>
          <w:tab w:val="left" w:pos="630" w:leader="none"/>
        </w:tabs>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rPr>
        <w:t>https://ec.europa.eu/food/sites/food/files/safety/docs/sci-com_scf_out154_en.pdf</w:t>
      </w:r>
    </w:p>
  </w:endnote>
  <w:endnote w:id="24">
    <w:p>
      <w:pPr>
        <w:pStyle w:val="Normal"/>
        <w:widowControl w:val="false"/>
        <w:tabs>
          <w:tab w:val="clear" w:pos="720"/>
          <w:tab w:val="left" w:pos="630" w:leader="none"/>
          <w:tab w:val="left" w:pos="810" w:leader="none"/>
        </w:tabs>
        <w:spacing w:lineRule="auto" w:line="240" w:before="0" w:after="80"/>
        <w:ind w:left="720" w:hanging="720"/>
        <w:rPr/>
      </w:pPr>
      <w:r>
        <w:rPr>
          <w:rStyle w:val="EndnoteCharacters"/>
        </w:rPr>
        <w:endnoteRef/>
      </w:r>
      <w:r>
        <w:rPr>
          <w:rFonts w:cs="Times New Roman" w:ascii="Times New Roman" w:hAnsi="Times New Roman"/>
          <w:sz w:val="20"/>
          <w:szCs w:val="20"/>
        </w:rPr>
        <w:tab/>
        <w:t xml:space="preserve"> </w:t>
      </w:r>
      <w:r>
        <w:rPr>
          <w:rFonts w:cs="Times New Roman" w:ascii="Times New Roman" w:hAnsi="Times New Roman"/>
          <w:sz w:val="20"/>
          <w:szCs w:val="20"/>
          <w:lang w:val="en-US"/>
        </w:rPr>
        <w:t>Clougherty JE, Kubzansky LD. A framework for examining social stress and susceptibility to air pollution in respiratory health. Ciênc Saúde Coletiva . 2010;15(4):2059-2074. doi:10.1590/S1413-81232010000400020.</w:t>
      </w:r>
    </w:p>
  </w:endnote>
</w:endnote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ucida Grande">
    <w:charset w:val="01"/>
    <w:family w:val="roman"/>
    <w:pitch w:val="variable"/>
  </w:font>
  <w:font w:name="Times New Roman">
    <w:charset w:val="01"/>
    <w:family w:val="roman"/>
    <w:pitch w:val="variable"/>
  </w:font>
  <w:font w:name="Calibri">
    <w:charset w:val="01"/>
    <w:family w:val="roman"/>
    <w:pitch w:val="variable"/>
  </w:font>
  <w:font w:name="Liberation Sans">
    <w:altName w:val="Arial"/>
    <w:charset w:val="01"/>
    <w:family w:val="roman"/>
    <w:pitch w:val="variable"/>
  </w:font>
  <w:font w:name="Abadi MT Condensed Light">
    <w:charset w:val="01"/>
    <w:family w:val="roman"/>
    <w:pitch w:val="variable"/>
  </w:font>
  <w:font w:name="Avenir Medium">
    <w:charset w:val="01"/>
    <w:family w:val="roman"/>
    <w:pitch w:val="variable"/>
  </w:font>
  <w:font w:name="Helvetica Neue">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1" allowOverlap="1" relativeHeight="47">
              <wp:simplePos x="0" y="0"/>
              <wp:positionH relativeFrom="margin">
                <wp:align>center</wp:align>
              </wp:positionH>
              <wp:positionV relativeFrom="paragraph">
                <wp:posOffset>635</wp:posOffset>
              </wp:positionV>
              <wp:extent cx="156845" cy="160020"/>
              <wp:effectExtent l="0" t="0" r="0" b="0"/>
              <wp:wrapSquare wrapText="largest"/>
              <wp:docPr id="41" name="Frame16"/>
              <a:graphic xmlns:a="http://schemas.openxmlformats.org/drawingml/2006/main">
                <a:graphicData uri="http://schemas.microsoft.com/office/word/2010/wordprocessingShape">
                  <wps:wsp>
                    <wps:cNvSpPr/>
                    <wps:spPr>
                      <a:xfrm>
                        <a:off x="0" y="0"/>
                        <a:ext cx="156240" cy="159480"/>
                      </a:xfrm>
                      <a:prstGeom prst="rect">
                        <a:avLst/>
                      </a:prstGeom>
                      <a:noFill/>
                      <a:ln>
                        <a:noFill/>
                      </a:ln>
                    </wps:spPr>
                    <wps:style>
                      <a:lnRef idx="0"/>
                      <a:fillRef idx="0"/>
                      <a:effectRef idx="0"/>
                      <a:fontRef idx="minor"/>
                    </wps:style>
                    <wps:txbx>
                      <w:txbxContent>
                        <w:p>
                          <w:pPr>
                            <w:pStyle w:val="Footer"/>
                            <w:rPr/>
                          </w:pPr>
                          <w:r>
                            <w:rPr>
                              <w:rStyle w:val="Pagenumber"/>
                              <w:color w:val="auto"/>
                            </w:rPr>
                            <w:fldChar w:fldCharType="begin"/>
                          </w:r>
                          <w:r>
                            <w:rPr>
                              <w:rStyle w:val="Pagenumber"/>
                            </w:rPr>
                            <w:instrText> PAGE </w:instrText>
                          </w:r>
                          <w:r>
                            <w:rPr>
                              <w:rStyle w:val="Pagenumber"/>
                            </w:rPr>
                            <w:fldChar w:fldCharType="separate"/>
                          </w:r>
                          <w:r>
                            <w:rPr>
                              <w:rStyle w:val="Pagenumber"/>
                            </w:rPr>
                            <w:t>29</w:t>
                          </w:r>
                          <w:r>
                            <w:rPr>
                              <w:rStyle w:val="Pagenumber"/>
                            </w:rPr>
                            <w:fldChar w:fldCharType="end"/>
                          </w:r>
                        </w:p>
                      </w:txbxContent>
                    </wps:txbx>
                    <wps:bodyPr lIns="0" rIns="0" tIns="0" bIns="0">
                      <a:spAutoFit/>
                    </wps:bodyPr>
                  </wps:wsp>
                </a:graphicData>
              </a:graphic>
            </wp:anchor>
          </w:drawing>
        </mc:Choice>
        <mc:Fallback>
          <w:pict>
            <v:rect id="shape_0" ID="Frame16" fillcolor="white" stroked="f" style="position:absolute;margin-left:227.85pt;margin-top:0.05pt;width:12.25pt;height:12.5pt;mso-position-horizontal:center;mso-position-horizontal-relative:margin">
              <w10:wrap type="square"/>
              <v:fill o:detectmouseclick="t" type="solid" color2="black" opacity="0"/>
              <v:stroke color="#3465a4" joinstyle="round" endcap="flat"/>
              <v:textbox>
                <w:txbxContent>
                  <w:p>
                    <w:pPr>
                      <w:pStyle w:val="Footer"/>
                      <w:rPr/>
                    </w:pPr>
                    <w:r>
                      <w:rPr>
                        <w:rStyle w:val="Pagenumber"/>
                        <w:color w:val="auto"/>
                      </w:rPr>
                      <w:fldChar w:fldCharType="begin"/>
                    </w:r>
                    <w:r>
                      <w:rPr>
                        <w:rStyle w:val="Pagenumber"/>
                      </w:rPr>
                      <w:instrText> PAGE </w:instrText>
                    </w:r>
                    <w:r>
                      <w:rPr>
                        <w:rStyle w:val="Pagenumber"/>
                      </w:rPr>
                      <w:fldChar w:fldCharType="separate"/>
                    </w:r>
                    <w:r>
                      <w:rPr>
                        <w:rStyle w:val="Pagenumber"/>
                      </w:rPr>
                      <w:t>29</w:t>
                    </w:r>
                    <w:r>
                      <w:rPr>
                        <w:rStyle w:val="Pagenumber"/>
                      </w:rPr>
                      <w:fldChar w:fldCharType="end"/>
                    </w:r>
                  </w:p>
                </w:txbxContent>
              </v:textbox>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center"/>
      <w:rPr>
        <w:sz w:val="28"/>
        <w:szCs w:val="28"/>
      </w:rPr>
    </w:pPr>
    <w:r>
      <w:rPr>
        <w:sz w:val="28"/>
        <w:szCs w:val="28"/>
      </w:rPr>
    </w:r>
  </w:p>
  <w:p>
    <w:pPr>
      <w:pStyle w:val="LOnormal"/>
      <w:jc w:val="center"/>
      <w:rPr>
        <w:sz w:val="28"/>
        <w:szCs w:val="28"/>
      </w:rPr>
    </w:pPr>
    <w:r>
      <w:rPr>
        <w:sz w:val="28"/>
        <w:szCs w:val="28"/>
      </w:rPr>
      <w:t>Produce Safety After Urban Wildfire Citizen Science Initiative</w:t>
    </w:r>
  </w:p>
  <w:p>
    <w:pPr>
      <w:pStyle w:val="LOnormal"/>
      <w:jc w:val="center"/>
      <w:rPr/>
    </w:pPr>
    <w:r>
      <w:rPr>
        <w:b/>
        <w:sz w:val="28"/>
        <w:szCs w:val="28"/>
      </w:rPr>
      <w:t>FINAL REPORT, FEBRUARY 2019</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tabs>
          <w:tab w:val="num" w:pos="360"/>
        </w:tabs>
        <w:ind w:left="360" w:hanging="360"/>
      </w:pPr>
      <w:rPr>
        <w:rFonts w:ascii="Symbol" w:hAnsi="Symbol" w:cs="Symbol" w:hint="default"/>
        <w:sz w:val="24"/>
        <w:b/>
        <w:rFonts w:cs="Symbol"/>
      </w:rPr>
    </w:lvl>
    <w:lvl w:ilvl="1">
      <w:start w:val="1"/>
      <w:numFmt w:val="bullet"/>
      <w:lvlText w:val="o"/>
      <w:lvlJc w:val="left"/>
      <w:pPr>
        <w:tabs>
          <w:tab w:val="num" w:pos="1080"/>
        </w:tabs>
        <w:ind w:left="1080" w:hanging="360"/>
      </w:pPr>
      <w:rPr>
        <w:rFonts w:ascii="Courier New" w:hAnsi="Courier New" w:cs="Courier New" w:hint="default"/>
        <w:sz w:val="24"/>
        <w:rFonts w:cs="Courier New"/>
      </w:rPr>
    </w:lvl>
    <w:lvl w:ilvl="2">
      <w:start w:val="1"/>
      <w:numFmt w:val="bullet"/>
      <w:lvlText w:val=""/>
      <w:lvlJc w:val="left"/>
      <w:pPr>
        <w:tabs>
          <w:tab w:val="num" w:pos="1800"/>
        </w:tabs>
        <w:ind w:left="1800" w:hanging="360"/>
      </w:pPr>
      <w:rPr>
        <w:rFonts w:ascii="Wingdings" w:hAnsi="Wingdings" w:cs="Wingdings" w:hint="default"/>
        <w:sz w:val="20"/>
        <w:rFonts w:cs="Wingdings"/>
      </w:rPr>
    </w:lvl>
    <w:lvl w:ilvl="3">
      <w:start w:val="1"/>
      <w:numFmt w:val="bullet"/>
      <w:lvlText w:val=""/>
      <w:lvlJc w:val="left"/>
      <w:pPr>
        <w:tabs>
          <w:tab w:val="num" w:pos="2520"/>
        </w:tabs>
        <w:ind w:left="2520" w:hanging="360"/>
      </w:pPr>
      <w:rPr>
        <w:rFonts w:ascii="Wingdings" w:hAnsi="Wingdings" w:cs="Wingdings" w:hint="default"/>
        <w:sz w:val="20"/>
        <w:rFonts w:cs="Wingdings"/>
      </w:rPr>
    </w:lvl>
    <w:lvl w:ilvl="4">
      <w:start w:val="1"/>
      <w:numFmt w:val="bullet"/>
      <w:lvlText w:val=""/>
      <w:lvlJc w:val="left"/>
      <w:pPr>
        <w:tabs>
          <w:tab w:val="num" w:pos="3240"/>
        </w:tabs>
        <w:ind w:left="3240" w:hanging="360"/>
      </w:pPr>
      <w:rPr>
        <w:rFonts w:ascii="Wingdings" w:hAnsi="Wingdings" w:cs="Wingdings" w:hint="default"/>
        <w:sz w:val="20"/>
        <w:rFonts w:cs="Wingdings"/>
      </w:rPr>
    </w:lvl>
    <w:lvl w:ilvl="5">
      <w:start w:val="1"/>
      <w:numFmt w:val="bullet"/>
      <w:lvlText w:val=""/>
      <w:lvlJc w:val="left"/>
      <w:pPr>
        <w:tabs>
          <w:tab w:val="num" w:pos="3960"/>
        </w:tabs>
        <w:ind w:left="3960" w:hanging="360"/>
      </w:pPr>
      <w:rPr>
        <w:rFonts w:ascii="Wingdings" w:hAnsi="Wingdings" w:cs="Wingdings" w:hint="default"/>
        <w:sz w:val="20"/>
        <w:rFonts w:cs="Wingdings"/>
      </w:rPr>
    </w:lvl>
    <w:lvl w:ilvl="6">
      <w:start w:val="1"/>
      <w:numFmt w:val="bullet"/>
      <w:lvlText w:val=""/>
      <w:lvlJc w:val="left"/>
      <w:pPr>
        <w:tabs>
          <w:tab w:val="num" w:pos="4680"/>
        </w:tabs>
        <w:ind w:left="4680" w:hanging="360"/>
      </w:pPr>
      <w:rPr>
        <w:rFonts w:ascii="Wingdings" w:hAnsi="Wingdings" w:cs="Wingdings" w:hint="default"/>
        <w:sz w:val="20"/>
        <w:rFonts w:cs="Wingdings"/>
      </w:rPr>
    </w:lvl>
    <w:lvl w:ilvl="7">
      <w:start w:val="1"/>
      <w:numFmt w:val="bullet"/>
      <w:lvlText w:val=""/>
      <w:lvlJc w:val="left"/>
      <w:pPr>
        <w:tabs>
          <w:tab w:val="num" w:pos="5400"/>
        </w:tabs>
        <w:ind w:left="5400" w:hanging="360"/>
      </w:pPr>
      <w:rPr>
        <w:rFonts w:ascii="Wingdings" w:hAnsi="Wingdings" w:cs="Wingdings" w:hint="default"/>
        <w:sz w:val="20"/>
        <w:rFonts w:cs="Wingdings"/>
      </w:rPr>
    </w:lvl>
    <w:lvl w:ilvl="8">
      <w:start w:val="1"/>
      <w:numFmt w:val="bullet"/>
      <w:lvlText w:val=""/>
      <w:lvlJc w:val="left"/>
      <w:pPr>
        <w:tabs>
          <w:tab w:val="num" w:pos="6120"/>
        </w:tabs>
        <w:ind w:left="6120" w:hanging="360"/>
      </w:pPr>
      <w:rPr>
        <w:rFonts w:ascii="Wingdings" w:hAnsi="Wingdings" w:cs="Wingdings" w:hint="default"/>
        <w:sz w:val="20"/>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Calibri" w:hAnsi="Calibri" w:cs="Calibri" w:hint="default"/>
        <w:sz w:val="24"/>
        <w:rFonts w:cs="Times New Roman"/>
      </w:rPr>
    </w:lvl>
    <w:lvl w:ilvl="1">
      <w:start w:val="1"/>
      <w:numFmt w:val="bullet"/>
      <w:lvlText w:val="o"/>
      <w:lvlJc w:val="left"/>
      <w:pPr>
        <w:ind w:left="1440" w:hanging="360"/>
      </w:pPr>
      <w:rPr>
        <w:rFonts w:ascii="Courier New" w:hAnsi="Courier New" w:cs="Courier New" w:hint="default"/>
        <w:sz w:val="24"/>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Calibri" w:hAnsi="Calibri" w:cs="Calibri" w:hint="default"/>
        <w:sz w:val="20"/>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95"/>
  <w:defaultTabStop w:val="720"/>
  <w:endnotePr>
    <w:numFmt w:val="decimal"/>
    <w:endnote w:id="0"/>
    <w:endnote w:id="1"/>
  </w:endnotePr>
  <w:compat>
    <w:compatSetting w:name="compatibilityMode" w:uri="http://schemas.microsoft.com/office/word" w:val="14"/>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jc w:val="left"/>
    </w:pPr>
    <w:rPr>
      <w:rFonts w:ascii="Arial" w:hAnsi="Arial" w:eastAsia="Arial" w:cs="Arial"/>
      <w:color w:val="auto"/>
      <w:kern w:val="0"/>
      <w:sz w:val="22"/>
      <w:szCs w:val="22"/>
      <w:lang w:val="en" w:eastAsia="en-US" w:bidi="ar-SA"/>
    </w:rPr>
  </w:style>
  <w:style w:type="paragraph" w:styleId="Heading1">
    <w:name w:val="Heading 1"/>
    <w:next w:val="LOnormal"/>
    <w:qFormat/>
    <w:pPr>
      <w:keepNext w:val="true"/>
      <w:keepLines/>
      <w:widowControl/>
      <w:bidi w:val="0"/>
      <w:spacing w:lineRule="auto" w:line="276" w:before="400" w:after="120"/>
      <w:jc w:val="left"/>
      <w:outlineLvl w:val="0"/>
    </w:pPr>
    <w:rPr>
      <w:rFonts w:ascii="Arial" w:hAnsi="Arial" w:eastAsia="Arial" w:cs="Arial"/>
      <w:color w:val="auto"/>
      <w:kern w:val="0"/>
      <w:sz w:val="40"/>
      <w:szCs w:val="40"/>
      <w:lang w:val="en" w:eastAsia="en-US" w:bidi="ar-SA"/>
    </w:rPr>
  </w:style>
  <w:style w:type="paragraph" w:styleId="Heading2">
    <w:name w:val="Heading 2"/>
    <w:next w:val="LOnormal"/>
    <w:qFormat/>
    <w:pPr>
      <w:keepNext w:val="true"/>
      <w:keepLines/>
      <w:widowControl/>
      <w:bidi w:val="0"/>
      <w:spacing w:lineRule="auto" w:line="276" w:before="360" w:after="120"/>
      <w:jc w:val="left"/>
      <w:outlineLvl w:val="1"/>
    </w:pPr>
    <w:rPr>
      <w:rFonts w:ascii="Arial" w:hAnsi="Arial" w:eastAsia="Arial" w:cs="Arial"/>
      <w:color w:val="auto"/>
      <w:kern w:val="0"/>
      <w:sz w:val="32"/>
      <w:szCs w:val="32"/>
      <w:lang w:val="en" w:eastAsia="en-US" w:bidi="ar-SA"/>
    </w:rPr>
  </w:style>
  <w:style w:type="paragraph" w:styleId="Heading3">
    <w:name w:val="Heading 3"/>
    <w:next w:val="LOnormal"/>
    <w:qFormat/>
    <w:pPr>
      <w:keepNext w:val="true"/>
      <w:keepLines/>
      <w:widowControl/>
      <w:bidi w:val="0"/>
      <w:spacing w:lineRule="auto" w:line="276" w:before="320" w:after="80"/>
      <w:jc w:val="left"/>
      <w:outlineLvl w:val="2"/>
    </w:pPr>
    <w:rPr>
      <w:rFonts w:ascii="Arial" w:hAnsi="Arial" w:eastAsia="Arial" w:cs="Arial"/>
      <w:color w:val="434343"/>
      <w:kern w:val="0"/>
      <w:sz w:val="28"/>
      <w:szCs w:val="28"/>
      <w:lang w:val="en" w:eastAsia="en-US" w:bidi="ar-SA"/>
    </w:rPr>
  </w:style>
  <w:style w:type="paragraph" w:styleId="Heading4">
    <w:name w:val="Heading 4"/>
    <w:next w:val="LOnormal"/>
    <w:qFormat/>
    <w:pPr>
      <w:keepNext w:val="true"/>
      <w:keepLines/>
      <w:widowControl/>
      <w:bidi w:val="0"/>
      <w:spacing w:lineRule="auto" w:line="276" w:before="280" w:after="80"/>
      <w:jc w:val="left"/>
      <w:outlineLvl w:val="3"/>
    </w:pPr>
    <w:rPr>
      <w:rFonts w:ascii="Arial" w:hAnsi="Arial" w:eastAsia="Arial" w:cs="Arial"/>
      <w:color w:val="666666"/>
      <w:kern w:val="0"/>
      <w:sz w:val="24"/>
      <w:szCs w:val="24"/>
      <w:lang w:val="en" w:eastAsia="en-US" w:bidi="ar-SA"/>
    </w:rPr>
  </w:style>
  <w:style w:type="paragraph" w:styleId="Heading5">
    <w:name w:val="Heading 5"/>
    <w:next w:val="LOnormal"/>
    <w:qFormat/>
    <w:pPr>
      <w:keepNext w:val="true"/>
      <w:keepLines/>
      <w:widowControl/>
      <w:bidi w:val="0"/>
      <w:spacing w:lineRule="auto" w:line="276" w:before="240" w:after="80"/>
      <w:jc w:val="left"/>
      <w:outlineLvl w:val="4"/>
    </w:pPr>
    <w:rPr>
      <w:rFonts w:ascii="Arial" w:hAnsi="Arial" w:eastAsia="Arial" w:cs="Arial"/>
      <w:color w:val="666666"/>
      <w:kern w:val="0"/>
      <w:sz w:val="22"/>
      <w:szCs w:val="22"/>
      <w:lang w:val="en" w:eastAsia="en-US" w:bidi="ar-SA"/>
    </w:rPr>
  </w:style>
  <w:style w:type="paragraph" w:styleId="Heading6">
    <w:name w:val="Heading 6"/>
    <w:next w:val="LOnormal"/>
    <w:qFormat/>
    <w:pPr>
      <w:keepNext w:val="true"/>
      <w:keepLines/>
      <w:widowControl/>
      <w:bidi w:val="0"/>
      <w:spacing w:lineRule="auto" w:line="276" w:before="240" w:after="80"/>
      <w:jc w:val="left"/>
      <w:outlineLvl w:val="5"/>
    </w:pPr>
    <w:rPr>
      <w:rFonts w:ascii="Arial" w:hAnsi="Arial" w:eastAsia="Arial" w:cs="Arial"/>
      <w:i/>
      <w:color w:val="666666"/>
      <w:kern w:val="0"/>
      <w:sz w:val="22"/>
      <w:szCs w:val="22"/>
      <w:lang w:val="en" w:eastAsia="en-US" w:bidi="ar-SA"/>
    </w:rPr>
  </w:style>
  <w:style w:type="character" w:styleId="DefaultParagraphFont" w:default="1">
    <w:name w:val="Default Paragraph Font"/>
    <w:uiPriority w:val="1"/>
    <w:semiHidden/>
    <w:unhideWhenUsed/>
    <w:qFormat/>
    <w:rPr/>
  </w:style>
  <w:style w:type="character" w:styleId="EndnoteTextChar" w:customStyle="1">
    <w:name w:val="Endnote Text Char"/>
    <w:basedOn w:val="DefaultParagraphFont"/>
    <w:link w:val="EndnoteText"/>
    <w:uiPriority w:val="99"/>
    <w:qFormat/>
    <w:rsid w:val="00800361"/>
    <w:rPr>
      <w:sz w:val="24"/>
      <w:szCs w:val="24"/>
    </w:rPr>
  </w:style>
  <w:style w:type="character" w:styleId="FootnoteTextChar" w:customStyle="1">
    <w:name w:val="Footnote Text Char"/>
    <w:basedOn w:val="DefaultParagraphFont"/>
    <w:link w:val="FootnoteText"/>
    <w:uiPriority w:val="99"/>
    <w:semiHidden/>
    <w:qFormat/>
    <w:rsid w:val="00800361"/>
    <w:rPr>
      <w:sz w:val="24"/>
      <w:szCs w:val="24"/>
    </w:rPr>
  </w:style>
  <w:style w:type="character" w:styleId="EndnoteCharacters">
    <w:name w:val="Endnote Characters"/>
    <w:basedOn w:val="DefaultParagraphFont"/>
    <w:uiPriority w:val="99"/>
    <w:unhideWhenUsed/>
    <w:qFormat/>
    <w:rsid w:val="00800361"/>
    <w:rPr>
      <w:vertAlign w:val="superscript"/>
    </w:rPr>
  </w:style>
  <w:style w:type="character" w:styleId="EndnoteAnchor">
    <w:name w:val="Endnote Anchor"/>
    <w:rPr>
      <w:vertAlign w:val="superscript"/>
    </w:rPr>
  </w:style>
  <w:style w:type="character" w:styleId="FootnoteCharacters">
    <w:name w:val="Footnote Characters"/>
    <w:basedOn w:val="DefaultParagraphFont"/>
    <w:uiPriority w:val="99"/>
    <w:semiHidden/>
    <w:unhideWhenUsed/>
    <w:qFormat/>
    <w:rsid w:val="00800361"/>
    <w:rPr>
      <w:vertAlign w:val="superscript"/>
    </w:rPr>
  </w:style>
  <w:style w:type="character" w:styleId="FootnoteAnchor">
    <w:name w:val="Footnote Anchor"/>
    <w:rPr>
      <w:vertAlign w:val="superscript"/>
    </w:rPr>
  </w:style>
  <w:style w:type="character" w:styleId="InternetLink">
    <w:name w:val="Internet Link"/>
    <w:basedOn w:val="DefaultParagraphFont"/>
    <w:uiPriority w:val="99"/>
    <w:unhideWhenUsed/>
    <w:rsid w:val="00a27679"/>
    <w:rPr>
      <w:color w:val="0000FF" w:themeColor="hyperlink"/>
      <w:u w:val="single"/>
    </w:rPr>
  </w:style>
  <w:style w:type="character" w:styleId="BalloonTextChar" w:customStyle="1">
    <w:name w:val="Balloon Text Char"/>
    <w:basedOn w:val="DefaultParagraphFont"/>
    <w:link w:val="BalloonText"/>
    <w:uiPriority w:val="99"/>
    <w:semiHidden/>
    <w:qFormat/>
    <w:rsid w:val="005b25e7"/>
    <w:rPr>
      <w:rFonts w:ascii="Lucida Grande" w:hAnsi="Lucida Grande"/>
      <w:sz w:val="18"/>
      <w:szCs w:val="18"/>
    </w:rPr>
  </w:style>
  <w:style w:type="character" w:styleId="FooterChar" w:customStyle="1">
    <w:name w:val="Footer Char"/>
    <w:basedOn w:val="DefaultParagraphFont"/>
    <w:link w:val="Footer"/>
    <w:uiPriority w:val="99"/>
    <w:qFormat/>
    <w:rsid w:val="0023605e"/>
    <w:rPr/>
  </w:style>
  <w:style w:type="character" w:styleId="Pagenumber">
    <w:name w:val="page number"/>
    <w:basedOn w:val="DefaultParagraphFont"/>
    <w:uiPriority w:val="99"/>
    <w:semiHidden/>
    <w:unhideWhenUsed/>
    <w:qFormat/>
    <w:rsid w:val="0023605e"/>
    <w:rPr/>
  </w:style>
  <w:style w:type="character" w:styleId="Annotationreference">
    <w:name w:val="annotation reference"/>
    <w:basedOn w:val="DefaultParagraphFont"/>
    <w:uiPriority w:val="99"/>
    <w:semiHidden/>
    <w:unhideWhenUsed/>
    <w:qFormat/>
    <w:rsid w:val="00a65105"/>
    <w:rPr>
      <w:sz w:val="18"/>
      <w:szCs w:val="18"/>
    </w:rPr>
  </w:style>
  <w:style w:type="character" w:styleId="CommentTextChar" w:customStyle="1">
    <w:name w:val="Comment Text Char"/>
    <w:basedOn w:val="DefaultParagraphFont"/>
    <w:link w:val="CommentText"/>
    <w:uiPriority w:val="99"/>
    <w:semiHidden/>
    <w:qFormat/>
    <w:rsid w:val="00a65105"/>
    <w:rPr>
      <w:sz w:val="24"/>
      <w:szCs w:val="24"/>
    </w:rPr>
  </w:style>
  <w:style w:type="character" w:styleId="CommentSubjectChar" w:customStyle="1">
    <w:name w:val="Comment Subject Char"/>
    <w:basedOn w:val="CommentTextChar"/>
    <w:link w:val="CommentSubject"/>
    <w:uiPriority w:val="99"/>
    <w:semiHidden/>
    <w:qFormat/>
    <w:rsid w:val="00a65105"/>
    <w:rPr>
      <w:b/>
      <w:bCs/>
      <w:sz w:val="20"/>
      <w:szCs w:val="20"/>
    </w:rPr>
  </w:style>
  <w:style w:type="character" w:styleId="FollowedHyperlink">
    <w:name w:val="FollowedHyperlink"/>
    <w:basedOn w:val="DefaultParagraphFont"/>
    <w:uiPriority w:val="99"/>
    <w:semiHidden/>
    <w:unhideWhenUsed/>
    <w:qFormat/>
    <w:rsid w:val="006c5b40"/>
    <w:rPr>
      <w:color w:val="800080" w:themeColor="followedHyperlink"/>
      <w:u w:val="single"/>
    </w:rPr>
  </w:style>
  <w:style w:type="character" w:styleId="HeaderChar" w:customStyle="1">
    <w:name w:val="Header Char"/>
    <w:basedOn w:val="DefaultParagraphFont"/>
    <w:link w:val="Header"/>
    <w:uiPriority w:val="99"/>
    <w:qFormat/>
    <w:rsid w:val="00a86f4b"/>
    <w:rPr/>
  </w:style>
  <w:style w:type="character" w:styleId="Appletabspan" w:customStyle="1">
    <w:name w:val="apple-tab-span"/>
    <w:basedOn w:val="DefaultParagraphFont"/>
    <w:qFormat/>
    <w:rsid w:val="00ec2e0e"/>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eastAsia="Arial" w:cs="Arial"/>
      <w:color w:val="222222"/>
      <w:sz w:val="19"/>
      <w:szCs w:val="19"/>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Times New Roman" w:hAnsi="Times New Roman"/>
      <w:b/>
      <w:sz w:val="24"/>
    </w:rPr>
  </w:style>
  <w:style w:type="character" w:styleId="ListLabel20">
    <w:name w:val="ListLabel 20"/>
    <w:qFormat/>
    <w:rPr>
      <w:rFonts w:ascii="Times New Roman" w:hAnsi="Times New Roman"/>
      <w:sz w:val="24"/>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rFonts w:ascii="Times New Roman" w:hAnsi="Times New Roman" w:eastAsia="Times New Roman" w:cs="Times New Roman"/>
      <w:sz w:val="24"/>
    </w:rPr>
  </w:style>
  <w:style w:type="character" w:styleId="ListLabel38">
    <w:name w:val="ListLabel 38"/>
    <w:qFormat/>
    <w:rPr>
      <w:rFonts w:ascii="Times New Roman" w:hAnsi="Times New Roman" w:eastAsia="Times New Roman" w:cs="Times New Roman"/>
      <w:sz w:val="20"/>
    </w:rPr>
  </w:style>
  <w:style w:type="character" w:styleId="ListLabel39">
    <w:name w:val="ListLabel 39"/>
    <w:qFormat/>
    <w:rPr>
      <w:rFonts w:eastAsia="Times New Roman" w:cs="Times New Roman"/>
    </w:rPr>
  </w:style>
  <w:style w:type="character" w:styleId="ListLabel40">
    <w:name w:val="ListLabel 40"/>
    <w:qFormat/>
    <w:rPr>
      <w:rFonts w:ascii="Calibri" w:hAnsi="Calibri"/>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rFonts w:ascii="Times New Roman" w:hAnsi="Times New Roman" w:eastAsia="Times New Roman" w:cs="Times New Roman"/>
      <w:sz w:val="24"/>
      <w:szCs w:val="24"/>
      <w:lang w:val="en-US"/>
    </w:rPr>
  </w:style>
  <w:style w:type="character" w:styleId="ListLabel50">
    <w:name w:val="ListLabel 50"/>
    <w:qFormat/>
    <w:rPr>
      <w:rFonts w:ascii="Calibri" w:hAnsi="Calibri"/>
      <w:color w:val="1155CC"/>
      <w:sz w:val="22"/>
      <w:szCs w:val="22"/>
    </w:rPr>
  </w:style>
  <w:style w:type="character" w:styleId="ListLabel51">
    <w:name w:val="ListLabel 51"/>
    <w:qFormat/>
    <w:rPr>
      <w:rFonts w:ascii="Times New Roman" w:hAnsi="Times New Roman" w:cs="Symbol"/>
      <w:sz w:val="24"/>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cs="Symbol"/>
    </w:rPr>
  </w:style>
  <w:style w:type="character" w:styleId="ListLabel55">
    <w:name w:val="ListLabel 55"/>
    <w:qFormat/>
    <w:rPr>
      <w:rFonts w:cs="Courier New"/>
    </w:rPr>
  </w:style>
  <w:style w:type="character" w:styleId="ListLabel56">
    <w:name w:val="ListLabel 56"/>
    <w:qFormat/>
    <w:rPr>
      <w:rFonts w:cs="Wingdings"/>
    </w:rPr>
  </w:style>
  <w:style w:type="character" w:styleId="ListLabel57">
    <w:name w:val="ListLabel 57"/>
    <w:qFormat/>
    <w:rPr>
      <w:rFonts w:cs="Symbol"/>
    </w:rPr>
  </w:style>
  <w:style w:type="character" w:styleId="ListLabel58">
    <w:name w:val="ListLabel 58"/>
    <w:qFormat/>
    <w:rPr>
      <w:rFonts w:cs="Courier New"/>
    </w:rPr>
  </w:style>
  <w:style w:type="character" w:styleId="ListLabel59">
    <w:name w:val="ListLabel 59"/>
    <w:qFormat/>
    <w:rPr>
      <w:rFonts w:cs="Wingdings"/>
    </w:rPr>
  </w:style>
  <w:style w:type="character" w:styleId="ListLabel60">
    <w:name w:val="ListLabel 60"/>
    <w:qFormat/>
    <w:rPr>
      <w:rFonts w:ascii="Times New Roman" w:hAnsi="Times New Roman" w:cs="Symbol"/>
      <w:b/>
      <w:sz w:val="24"/>
    </w:rPr>
  </w:style>
  <w:style w:type="character" w:styleId="ListLabel61">
    <w:name w:val="ListLabel 61"/>
    <w:qFormat/>
    <w:rPr>
      <w:rFonts w:ascii="Times New Roman" w:hAnsi="Times New Roman" w:cs="Courier New"/>
      <w:sz w:val="24"/>
    </w:rPr>
  </w:style>
  <w:style w:type="character" w:styleId="ListLabel62">
    <w:name w:val="ListLabel 62"/>
    <w:qFormat/>
    <w:rPr>
      <w:rFonts w:cs="Wingdings"/>
      <w:sz w:val="20"/>
    </w:rPr>
  </w:style>
  <w:style w:type="character" w:styleId="ListLabel63">
    <w:name w:val="ListLabel 63"/>
    <w:qFormat/>
    <w:rPr>
      <w:rFonts w:cs="Wingdings"/>
      <w:sz w:val="20"/>
    </w:rPr>
  </w:style>
  <w:style w:type="character" w:styleId="ListLabel64">
    <w:name w:val="ListLabel 64"/>
    <w:qFormat/>
    <w:rPr>
      <w:rFonts w:cs="Wingdings"/>
      <w:sz w:val="20"/>
    </w:rPr>
  </w:style>
  <w:style w:type="character" w:styleId="ListLabel65">
    <w:name w:val="ListLabel 65"/>
    <w:qFormat/>
    <w:rPr>
      <w:rFonts w:cs="Wingdings"/>
      <w:sz w:val="20"/>
    </w:rPr>
  </w:style>
  <w:style w:type="character" w:styleId="ListLabel66">
    <w:name w:val="ListLabel 66"/>
    <w:qFormat/>
    <w:rPr>
      <w:rFonts w:cs="Wingdings"/>
      <w:sz w:val="20"/>
    </w:rPr>
  </w:style>
  <w:style w:type="character" w:styleId="ListLabel67">
    <w:name w:val="ListLabel 67"/>
    <w:qFormat/>
    <w:rPr>
      <w:rFonts w:cs="Wingdings"/>
      <w:sz w:val="20"/>
    </w:rPr>
  </w:style>
  <w:style w:type="character" w:styleId="ListLabel68">
    <w:name w:val="ListLabel 68"/>
    <w:qFormat/>
    <w:rPr>
      <w:rFonts w:cs="Wingdings"/>
      <w:sz w:val="20"/>
    </w:rPr>
  </w:style>
  <w:style w:type="character" w:styleId="ListLabel69">
    <w:name w:val="ListLabel 69"/>
    <w:qFormat/>
    <w:rPr>
      <w:rFonts w:ascii="Times New Roman" w:hAnsi="Times New Roman" w:cs="Times New Roman"/>
      <w:sz w:val="24"/>
    </w:rPr>
  </w:style>
  <w:style w:type="character" w:styleId="ListLabel70">
    <w:name w:val="ListLabel 70"/>
    <w:qFormat/>
    <w:rPr>
      <w:rFonts w:ascii="Times New Roman" w:hAnsi="Times New Roman" w:cs="Courier New"/>
      <w:sz w:val="24"/>
    </w:rPr>
  </w:style>
  <w:style w:type="character" w:styleId="ListLabel71">
    <w:name w:val="ListLabel 71"/>
    <w:qFormat/>
    <w:rPr>
      <w:rFonts w:cs="Wingdings"/>
    </w:rPr>
  </w:style>
  <w:style w:type="character" w:styleId="ListLabel72">
    <w:name w:val="ListLabel 72"/>
    <w:qFormat/>
    <w:rPr>
      <w:rFonts w:cs="Symbol"/>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ascii="Times New Roman" w:hAnsi="Times New Roman" w:cs="Times New Roman"/>
      <w:sz w:val="20"/>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rFonts w:cs="Symbol"/>
    </w:rPr>
  </w:style>
  <w:style w:type="character" w:styleId="ListLabel82">
    <w:name w:val="ListLabel 82"/>
    <w:qFormat/>
    <w:rPr>
      <w:rFonts w:cs="Courier New"/>
    </w:rPr>
  </w:style>
  <w:style w:type="character" w:styleId="ListLabel83">
    <w:name w:val="ListLabel 83"/>
    <w:qFormat/>
    <w:rPr>
      <w:rFonts w:cs="Wingdings"/>
    </w:rPr>
  </w:style>
  <w:style w:type="character" w:styleId="ListLabel84">
    <w:name w:val="ListLabel 84"/>
    <w:qFormat/>
    <w:rPr>
      <w:rFonts w:cs="Symbol"/>
    </w:rPr>
  </w:style>
  <w:style w:type="character" w:styleId="ListLabel85">
    <w:name w:val="ListLabel 85"/>
    <w:qFormat/>
    <w:rPr>
      <w:rFonts w:cs="Courier New"/>
    </w:rPr>
  </w:style>
  <w:style w:type="character" w:styleId="ListLabel86">
    <w:name w:val="ListLabel 86"/>
    <w:qFormat/>
    <w:rPr>
      <w:rFonts w:cs="Wingdings"/>
    </w:rPr>
  </w:style>
  <w:style w:type="character" w:styleId="ListLabel87">
    <w:name w:val="ListLabel 87"/>
    <w:qFormat/>
    <w:rPr>
      <w:rFonts w:ascii="Calibri" w:hAnsi="Calibri" w:cs="Symbol"/>
      <w:sz w:val="20"/>
    </w:rPr>
  </w:style>
  <w:style w:type="character" w:styleId="ListLabel88">
    <w:name w:val="ListLabel 88"/>
    <w:qFormat/>
    <w:rPr>
      <w:rFonts w:cs="Courier New"/>
      <w:sz w:val="20"/>
    </w:rPr>
  </w:style>
  <w:style w:type="character" w:styleId="ListLabel89">
    <w:name w:val="ListLabel 89"/>
    <w:qFormat/>
    <w:rPr>
      <w:rFonts w:cs="Wingdings"/>
      <w:sz w:val="20"/>
    </w:rPr>
  </w:style>
  <w:style w:type="character" w:styleId="ListLabel90">
    <w:name w:val="ListLabel 90"/>
    <w:qFormat/>
    <w:rPr>
      <w:rFonts w:cs="Wingdings"/>
      <w:sz w:val="20"/>
    </w:rPr>
  </w:style>
  <w:style w:type="character" w:styleId="ListLabel91">
    <w:name w:val="ListLabel 91"/>
    <w:qFormat/>
    <w:rPr>
      <w:rFonts w:cs="Wingdings"/>
      <w:sz w:val="20"/>
    </w:rPr>
  </w:style>
  <w:style w:type="character" w:styleId="ListLabel92">
    <w:name w:val="ListLabel 92"/>
    <w:qFormat/>
    <w:rPr>
      <w:rFonts w:cs="Wingdings"/>
      <w:sz w:val="20"/>
    </w:rPr>
  </w:style>
  <w:style w:type="character" w:styleId="ListLabel93">
    <w:name w:val="ListLabel 93"/>
    <w:qFormat/>
    <w:rPr>
      <w:rFonts w:cs="Wingdings"/>
      <w:sz w:val="20"/>
    </w:rPr>
  </w:style>
  <w:style w:type="character" w:styleId="ListLabel94">
    <w:name w:val="ListLabel 94"/>
    <w:qFormat/>
    <w:rPr>
      <w:rFonts w:cs="Wingdings"/>
      <w:sz w:val="20"/>
    </w:rPr>
  </w:style>
  <w:style w:type="character" w:styleId="ListLabel95">
    <w:name w:val="ListLabel 95"/>
    <w:qFormat/>
    <w:rPr>
      <w:rFonts w:cs="Wingdings"/>
      <w:sz w:val="20"/>
    </w:rPr>
  </w:style>
  <w:style w:type="character" w:styleId="ListLabel96">
    <w:name w:val="ListLabel 96"/>
    <w:qFormat/>
    <w:rPr>
      <w:rFonts w:ascii="Times New Roman" w:hAnsi="Times New Roman" w:eastAsia="Times New Roman" w:cs="Times New Roman"/>
      <w:sz w:val="24"/>
      <w:szCs w:val="24"/>
      <w:lang w:val="en-US"/>
    </w:rPr>
  </w:style>
  <w:style w:type="character" w:styleId="ListLabel97">
    <w:name w:val="ListLabel 97"/>
    <w:qFormat/>
    <w:rPr>
      <w:rFonts w:ascii="Calibri" w:hAnsi="Calibri"/>
      <w:color w:val="1155CC"/>
      <w:sz w:val="22"/>
      <w:szCs w:val="22"/>
    </w:rPr>
  </w:style>
  <w:style w:type="paragraph" w:styleId="Heading">
    <w:name w:val="Heading"/>
    <w:basedOn w:val="Normal"/>
    <w:next w:val="TextBody"/>
    <w:qFormat/>
    <w:pPr>
      <w:keepNext w:val="true"/>
      <w:spacing w:before="240" w:after="120"/>
    </w:pPr>
    <w:rPr>
      <w:rFonts w:ascii="Liberation Sans" w:hAnsi="Liberation Sans" w:eastAsia="Bitstream Vera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Onormal" w:customStyle="1">
    <w:name w:val="LO-normal"/>
    <w:qFormat/>
    <w:pPr>
      <w:widowControl/>
      <w:bidi w:val="0"/>
      <w:spacing w:lineRule="auto" w:line="276"/>
      <w:jc w:val="left"/>
    </w:pPr>
    <w:rPr>
      <w:rFonts w:ascii="Arial" w:hAnsi="Arial" w:eastAsia="Arial" w:cs="Arial"/>
      <w:color w:val="auto"/>
      <w:kern w:val="0"/>
      <w:sz w:val="22"/>
      <w:szCs w:val="22"/>
      <w:lang w:val="en" w:eastAsia="en-US" w:bidi="ar-SA"/>
    </w:rPr>
  </w:style>
  <w:style w:type="paragraph" w:styleId="Title">
    <w:name w:val="Title"/>
    <w:basedOn w:val="LOnormal"/>
    <w:next w:val="LOnormal"/>
    <w:qFormat/>
    <w:pPr>
      <w:keepNext w:val="true"/>
      <w:keepLines/>
      <w:spacing w:before="0" w:after="60"/>
    </w:pPr>
    <w:rPr>
      <w:sz w:val="52"/>
      <w:szCs w:val="52"/>
    </w:rPr>
  </w:style>
  <w:style w:type="paragraph" w:styleId="Subtitle">
    <w:name w:val="Subtitle"/>
    <w:basedOn w:val="LOnormal"/>
    <w:next w:val="LOnormal"/>
    <w:qFormat/>
    <w:pPr>
      <w:keepNext w:val="true"/>
      <w:keepLines/>
      <w:spacing w:before="0" w:after="320"/>
    </w:pPr>
    <w:rPr>
      <w:color w:val="666666"/>
      <w:sz w:val="30"/>
      <w:szCs w:val="30"/>
    </w:rPr>
  </w:style>
  <w:style w:type="paragraph" w:styleId="Endnote">
    <w:name w:val="Endnote Text"/>
    <w:basedOn w:val="Normal"/>
    <w:link w:val="EndnoteTextChar"/>
    <w:uiPriority w:val="99"/>
    <w:unhideWhenUsed/>
    <w:rsid w:val="00800361"/>
    <w:pPr>
      <w:spacing w:lineRule="auto" w:line="240"/>
    </w:pPr>
    <w:rPr>
      <w:sz w:val="24"/>
      <w:szCs w:val="24"/>
    </w:rPr>
  </w:style>
  <w:style w:type="paragraph" w:styleId="Footnote">
    <w:name w:val="Footnote Text"/>
    <w:basedOn w:val="Normal"/>
    <w:link w:val="FootnoteTextChar"/>
    <w:uiPriority w:val="99"/>
    <w:semiHidden/>
    <w:unhideWhenUsed/>
    <w:rsid w:val="00800361"/>
    <w:pPr>
      <w:spacing w:lineRule="auto" w:line="240"/>
    </w:pPr>
    <w:rPr>
      <w:sz w:val="24"/>
      <w:szCs w:val="24"/>
    </w:rPr>
  </w:style>
  <w:style w:type="paragraph" w:styleId="BalloonText">
    <w:name w:val="Balloon Text"/>
    <w:basedOn w:val="Normal"/>
    <w:link w:val="BalloonTextChar"/>
    <w:uiPriority w:val="99"/>
    <w:semiHidden/>
    <w:unhideWhenUsed/>
    <w:qFormat/>
    <w:rsid w:val="005b25e7"/>
    <w:pPr>
      <w:spacing w:lineRule="auto" w:line="240"/>
    </w:pPr>
    <w:rPr>
      <w:rFonts w:ascii="Lucida Grande" w:hAnsi="Lucida Grande"/>
      <w:sz w:val="18"/>
      <w:szCs w:val="18"/>
    </w:rPr>
  </w:style>
  <w:style w:type="paragraph" w:styleId="Footer">
    <w:name w:val="Footer"/>
    <w:basedOn w:val="Normal"/>
    <w:link w:val="FooterChar"/>
    <w:uiPriority w:val="99"/>
    <w:unhideWhenUsed/>
    <w:rsid w:val="0023605e"/>
    <w:pPr>
      <w:tabs>
        <w:tab w:val="clear" w:pos="720"/>
        <w:tab w:val="center" w:pos="4320" w:leader="none"/>
        <w:tab w:val="right" w:pos="8640" w:leader="none"/>
      </w:tabs>
      <w:spacing w:lineRule="auto" w:line="240"/>
    </w:pPr>
    <w:rPr/>
  </w:style>
  <w:style w:type="paragraph" w:styleId="Annotationtext">
    <w:name w:val="annotation text"/>
    <w:basedOn w:val="Normal"/>
    <w:link w:val="CommentTextChar"/>
    <w:uiPriority w:val="99"/>
    <w:semiHidden/>
    <w:unhideWhenUsed/>
    <w:qFormat/>
    <w:rsid w:val="00a65105"/>
    <w:pPr>
      <w:spacing w:lineRule="auto" w:line="240"/>
    </w:pPr>
    <w:rPr>
      <w:sz w:val="24"/>
      <w:szCs w:val="24"/>
    </w:rPr>
  </w:style>
  <w:style w:type="paragraph" w:styleId="Annotationsubject">
    <w:name w:val="annotation subject"/>
    <w:basedOn w:val="Annotationtext"/>
    <w:next w:val="Annotationtext"/>
    <w:link w:val="CommentSubjectChar"/>
    <w:uiPriority w:val="99"/>
    <w:semiHidden/>
    <w:unhideWhenUsed/>
    <w:qFormat/>
    <w:rsid w:val="00a65105"/>
    <w:pPr/>
    <w:rPr>
      <w:b/>
      <w:bCs/>
      <w:sz w:val="20"/>
      <w:szCs w:val="20"/>
    </w:rPr>
  </w:style>
  <w:style w:type="paragraph" w:styleId="Default" w:customStyle="1">
    <w:name w:val="Default"/>
    <w:qFormat/>
    <w:rsid w:val="008850ac"/>
    <w:pPr>
      <w:widowControl w:val="false"/>
      <w:bidi w:val="0"/>
      <w:spacing w:lineRule="auto" w:line="240"/>
      <w:jc w:val="left"/>
    </w:pPr>
    <w:rPr>
      <w:rFonts w:ascii="Times New Roman" w:hAnsi="Times New Roman" w:eastAsia="Arial" w:cs="Times New Roman"/>
      <w:color w:val="000000"/>
      <w:kern w:val="0"/>
      <w:sz w:val="24"/>
      <w:szCs w:val="24"/>
      <w:lang w:val="en-US" w:eastAsia="en-US" w:bidi="ar-SA"/>
    </w:rPr>
  </w:style>
  <w:style w:type="paragraph" w:styleId="Header">
    <w:name w:val="Header"/>
    <w:basedOn w:val="Normal"/>
    <w:link w:val="HeaderChar"/>
    <w:uiPriority w:val="99"/>
    <w:unhideWhenUsed/>
    <w:rsid w:val="00a86f4b"/>
    <w:pPr>
      <w:tabs>
        <w:tab w:val="clear" w:pos="720"/>
        <w:tab w:val="center" w:pos="4320" w:leader="none"/>
        <w:tab w:val="right" w:pos="8640" w:leader="none"/>
      </w:tabs>
      <w:spacing w:lineRule="auto" w:line="240"/>
    </w:pPr>
    <w:rPr/>
  </w:style>
  <w:style w:type="paragraph" w:styleId="NormalWeb">
    <w:name w:val="Normal (Web)"/>
    <w:basedOn w:val="Normal"/>
    <w:uiPriority w:val="99"/>
    <w:unhideWhenUsed/>
    <w:qFormat/>
    <w:rsid w:val="00852abc"/>
    <w:pPr>
      <w:spacing w:lineRule="auto" w:line="240" w:beforeAutospacing="1" w:afterAutospacing="1"/>
    </w:pPr>
    <w:rPr>
      <w:rFonts w:ascii="Times New Roman" w:hAnsi="Times New Roman" w:eastAsia="ＭＳ 明朝" w:cs="Times New Roman" w:eastAsiaTheme="minorEastAsia"/>
      <w:sz w:val="20"/>
      <w:szCs w:val="20"/>
      <w:lang w:val="en-US"/>
    </w:rPr>
  </w:style>
  <w:style w:type="paragraph" w:styleId="ListParagraph">
    <w:name w:val="List Paragraph"/>
    <w:basedOn w:val="Normal"/>
    <w:uiPriority w:val="34"/>
    <w:qFormat/>
    <w:rsid w:val="00ef6aea"/>
    <w:pPr>
      <w:spacing w:before="0" w:after="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801f5f"/>
    <w:pPr>
      <w:spacing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chart" Target="charts/chart1.xml"/><Relationship Id="rId6" Type="http://schemas.openxmlformats.org/officeDocument/2006/relationships/chart" Target="charts/chart2.xml"/><Relationship Id="rId7" Type="http://schemas.openxmlformats.org/officeDocument/2006/relationships/chart" Target="charts/chart3.xml"/><Relationship Id="rId8" Type="http://schemas.openxmlformats.org/officeDocument/2006/relationships/image" Target="media/image4.jpeg"/><Relationship Id="rId9" Type="http://schemas.microsoft.com/office/2007/relationships/hdphoto" Target="media/hdphoto1.wdp"/><Relationship Id="rId10" Type="http://schemas.openxmlformats.org/officeDocument/2006/relationships/chart" Target="charts/chart4.xml"/><Relationship Id="rId11" Type="http://schemas.openxmlformats.org/officeDocument/2006/relationships/chart" Target="charts/chart5.xml"/><Relationship Id="rId12" Type="http://schemas.openxmlformats.org/officeDocument/2006/relationships/hyperlink" Target="https://ehjournal.biomedcentral.com/articles/10.1186/1476-069X-11-71?TB_iframe=true&amp;width=921.6&amp;height=921.6" TargetMode="External"/><Relationship Id="rId13" Type="http://schemas.openxmlformats.org/officeDocument/2006/relationships/hyperlink" Target="https://www.ahta.org/research-info" TargetMode="External"/><Relationship Id="rId14" Type="http://schemas.openxmlformats.org/officeDocument/2006/relationships/hyperlink" Target="http://www.publish.csiro.au/WF/WF15034"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endnotes" Target="endnotes.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_rels/endnotes.xml.rels><?xml version="1.0" encoding="UTF-8"?>
<Relationships xmlns="http://schemas.openxmlformats.org/package/2006/relationships"><Relationship Id="rId1" Type="http://schemas.openxmlformats.org/officeDocument/2006/relationships/hyperlink" Target="https://oehha.ca.gov/proposition-65/general-info/current-proposition-65-no-significant-risk-levels-nsrls-maximum" TargetMode="External"/><Relationship Id="rId2" Type="http://schemas.openxmlformats.org/officeDocument/2006/relationships/hyperlink" Target="https://www.epa.gov/risk/regional-screening-levels-rsls-generic-tables" TargetMode="External"/><Relationship Id="rId3" Type="http://schemas.openxmlformats.org/officeDocument/2006/relationships/hyperlink" Target="https://oehha.ca.gov/risk-assessment/california-human-health-screening-levels-chhsls" TargetMode="External"/><Relationship Id="rId4" Type="http://schemas.openxmlformats.org/officeDocument/2006/relationships/hyperlink" Target="https://wayback.archive-it.org/7993/20170406021806/https://www.fda.gov/Food/FoodborneIllnessContaminants/ChemicalContaminants/ucm077498.htm" TargetMode="Externa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Plant: Total Daily Dioxin Intake from Sonoma Produce, compared to Prop 65 Dioxin threshold and Produce from FDA National Dioxin Survey (ug/day)</c:v>
                </c:pt>
              </c:strCache>
            </c:strRef>
          </c:tx>
          <c:spPr>
            <a:solidFill>
              <a:srgbClr val="4f81bd"/>
            </a:solidFill>
            <a:ln>
              <a:noFill/>
            </a:ln>
          </c:spPr>
          <c:invertIfNegative val="0"/>
          <c:dPt>
            <c:idx val="0"/>
            <c:invertIfNegative val="0"/>
            <c:spPr>
              <a:solidFill>
                <a:srgbClr val="9bbb59"/>
              </a:solidFill>
              <a:ln>
                <a:noFill/>
              </a:ln>
            </c:spPr>
          </c:dPt>
          <c:dLbls>
            <c:numFmt formatCode="0.00E+00" sourceLinked="1"/>
            <c:dLbl>
              <c:idx val="0"/>
              <c:txPr>
                <a:bodyPr/>
                <a:lstStyle/>
                <a:p>
                  <a:pPr>
                    <a:defRPr b="0" sz="1000" spc="-1" strike="noStrike">
                      <a:solidFill>
                        <a:srgbClr val="000000"/>
                      </a:solidFill>
                      <a:latin typeface="Calibri"/>
                      <a:ea typeface="Calibri"/>
                    </a:defRPr>
                  </a:pPr>
                </a:p>
              </c:txPr>
              <c:dLblPos val="outEnd"/>
              <c:showLegendKey val="0"/>
              <c:showVal val="0"/>
              <c:showCatName val="0"/>
              <c:showSerName val="0"/>
              <c:showPercent val="0"/>
            </c:dLbl>
            <c:txPr>
              <a:bodyPr/>
              <a:lstStyle/>
              <a:p>
                <a:pPr>
                  <a:defRPr b="0" sz="1000" spc="-1" strike="noStrike">
                    <a:solidFill>
                      <a:srgbClr val="000000"/>
                    </a:solidFill>
                    <a:latin typeface="Calibri"/>
                    <a:ea typeface="Calibri"/>
                  </a:defRPr>
                </a:pPr>
              </a:p>
            </c:txPr>
            <c:dLblPos val="outEnd"/>
            <c:showLegendKey val="0"/>
            <c:showVal val="0"/>
            <c:showCatName val="0"/>
            <c:showSerName val="0"/>
            <c:showPercent val="0"/>
            <c:showLeaderLines val="0"/>
          </c:dLbls>
          <c:cat>
            <c:strRef>
              <c:f>categories</c:f>
              <c:strCache>
                <c:ptCount val="6"/>
                <c:pt idx="0">
                  <c:v>Proposition 65 </c:v>
                </c:pt>
                <c:pt idx="1">
                  <c:v/>
                </c:pt>
                <c:pt idx="2">
                  <c:v/>
                </c:pt>
                <c:pt idx="3">
                  <c:v>FDA National Dioxin Survey, average results from spinach, collards, lettuce, cabbage,  2000-2004</c:v>
                </c:pt>
                <c:pt idx="4">
                  <c:v>Sonoma Lab Results: Daily Dioxin Intake from Green Leafy Vegetables, WHO-2005 TEQs ND=0</c:v>
                </c:pt>
                <c:pt idx="5">
                  <c:v>Sonoma Lab Results: Daily Dioxin Intake from Green Leafy Vegetables, WHO-2005 TEQs ND=DL/2</c:v>
                </c:pt>
              </c:strCache>
            </c:strRef>
          </c:cat>
          <c:val>
            <c:numRef>
              <c:f>0</c:f>
              <c:numCache>
                <c:formatCode>General</c:formatCode>
                <c:ptCount val="6"/>
                <c:pt idx="0">
                  <c:v>5E-006</c:v>
                </c:pt>
                <c:pt idx="1">
                  <c:v>2.22755625E-007</c:v>
                </c:pt>
                <c:pt idx="2">
                  <c:v>0</c:v>
                </c:pt>
                <c:pt idx="3">
                  <c:v>5.07E-006</c:v>
                </c:pt>
                <c:pt idx="4">
                  <c:v/>
                </c:pt>
                <c:pt idx="5">
                  <c:v/>
                </c:pt>
              </c:numCache>
            </c:numRef>
          </c:val>
        </c:ser>
        <c:gapWidth val="150"/>
        <c:overlap val="0"/>
        <c:axId val="11764190"/>
        <c:axId val="22442244"/>
      </c:barChart>
      <c:catAx>
        <c:axId val="11764190"/>
        <c:scaling>
          <c:orientation val="minMax"/>
        </c:scaling>
        <c:delete val="0"/>
        <c:axPos val="b"/>
        <c:numFmt formatCode="[$-409]MM/DD/YYYY" sourceLinked="1"/>
        <c:majorTickMark val="out"/>
        <c:minorTickMark val="none"/>
        <c:tickLblPos val="nextTo"/>
        <c:spPr>
          <a:ln w="9360">
            <a:solidFill>
              <a:srgbClr val="878787"/>
            </a:solidFill>
            <a:round/>
          </a:ln>
        </c:spPr>
        <c:txPr>
          <a:bodyPr/>
          <a:lstStyle/>
          <a:p>
            <a:pPr>
              <a:defRPr b="0" sz="1000" spc="-1" strike="noStrike">
                <a:solidFill>
                  <a:srgbClr val="000000"/>
                </a:solidFill>
                <a:latin typeface="Calibri"/>
                <a:ea typeface="Calibri"/>
              </a:defRPr>
            </a:pPr>
          </a:p>
        </c:txPr>
        <c:crossAx val="22442244"/>
        <c:crosses val="autoZero"/>
        <c:auto val="1"/>
        <c:lblAlgn val="ctr"/>
        <c:lblOffset val="100"/>
      </c:catAx>
      <c:valAx>
        <c:axId val="22442244"/>
        <c:scaling>
          <c:orientation val="minMax"/>
        </c:scaling>
        <c:delete val="0"/>
        <c:axPos val="l"/>
        <c:majorGridlines>
          <c:spPr>
            <a:ln w="9360">
              <a:solidFill>
                <a:srgbClr val="878787"/>
              </a:solidFill>
              <a:round/>
            </a:ln>
          </c:spPr>
        </c:majorGridlines>
        <c:numFmt formatCode="0.00E+00" sourceLinked="0"/>
        <c:majorTickMark val="out"/>
        <c:minorTickMark val="none"/>
        <c:tickLblPos val="nextTo"/>
        <c:spPr>
          <a:ln w="9360">
            <a:solidFill>
              <a:srgbClr val="878787"/>
            </a:solidFill>
            <a:round/>
          </a:ln>
        </c:spPr>
        <c:txPr>
          <a:bodyPr/>
          <a:lstStyle/>
          <a:p>
            <a:pPr>
              <a:defRPr b="0" sz="1000" spc="-1" strike="noStrike">
                <a:solidFill>
                  <a:srgbClr val="000000"/>
                </a:solidFill>
                <a:latin typeface="Calibri"/>
                <a:ea typeface="Calibri"/>
              </a:defRPr>
            </a:pPr>
          </a:p>
        </c:txPr>
        <c:crossAx val="11764190"/>
        <c:crosses val="autoZero"/>
      </c:valAx>
      <c:spPr>
        <a:solidFill>
          <a:srgbClr val="ffffff"/>
        </a:solidFill>
        <a:ln>
          <a:noFill/>
        </a:ln>
      </c:spPr>
    </c:plotArea>
    <c:plotVisOnly val="1"/>
    <c:dispBlanksAs val="gap"/>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000000"/>
                </a:solidFill>
                <a:latin typeface="Cambria"/>
              </a:defRPr>
            </a:pPr>
            <a:r>
              <a:rPr b="1" sz="1200" spc="-1" strike="noStrike">
                <a:solidFill>
                  <a:srgbClr val="000000"/>
                </a:solidFill>
                <a:latin typeface="Cambria"/>
              </a:rPr>
              <a:t>Total Daily Nickel Intake from produce sampled from your site, compare to Prop 65 NSRL ND=MRL/2 (ug/day)</a:t>
            </a:r>
          </a:p>
        </c:rich>
      </c:tx>
      <c:overlay val="0"/>
      <c:spPr>
        <a:noFill/>
        <a:ln>
          <a:noFill/>
        </a:ln>
      </c:spPr>
    </c:title>
    <c:autoTitleDeleted val="0"/>
    <c:plotArea>
      <c:barChart>
        <c:barDir val="col"/>
        <c:grouping val="clustered"/>
        <c:varyColors val="0"/>
        <c:ser>
          <c:idx val="0"/>
          <c:order val="0"/>
          <c:tx>
            <c:strRef>
              <c:f>label 0</c:f>
              <c:strCache>
                <c:ptCount val="1"/>
                <c:pt idx="0">
                  <c:v>Total Daily Nickel Intake from produce sampled from your site, compare to Prop 65 NSRL ND=MRL/2 (ug/day)</c:v>
                </c:pt>
              </c:strCache>
            </c:strRef>
          </c:tx>
          <c:spPr>
            <a:solidFill>
              <a:srgbClr val="4f81bd"/>
            </a:solidFill>
            <a:ln>
              <a:noFill/>
            </a:ln>
          </c:spPr>
          <c:invertIfNegative val="0"/>
          <c:dLbls>
            <c:numFmt formatCode="General" sourceLinked="1"/>
            <c:txPr>
              <a:bodyPr/>
              <a:lstStyle/>
              <a:p>
                <a:pPr>
                  <a:defRPr b="0" sz="1000" spc="-1" strike="noStrike">
                    <a:solidFill>
                      <a:srgbClr val="000000"/>
                    </a:solidFill>
                    <a:latin typeface="Cambria"/>
                  </a:defRPr>
                </a:pPr>
              </a:p>
            </c:txPr>
            <c:dLblPos val="outEnd"/>
            <c:showLegendKey val="0"/>
            <c:showVal val="0"/>
            <c:showCatName val="0"/>
            <c:showSerName val="0"/>
            <c:showPercent val="0"/>
            <c:showLeaderLines val="0"/>
          </c:dLbls>
          <c:cat>
            <c:strRef>
              <c:f>categories</c:f>
              <c:strCache>
                <c:ptCount val="2"/>
                <c:pt idx="0">
                  <c:v/>
                </c:pt>
                <c:pt idx="1">
                  <c:v/>
                </c:pt>
              </c:strCache>
            </c:strRef>
          </c:cat>
          <c:val>
            <c:numRef>
              <c:f>0</c:f>
              <c:numCache>
                <c:formatCode>General</c:formatCode>
                <c:ptCount val="2"/>
                <c:pt idx="0">
                  <c:v>0.8</c:v>
                </c:pt>
                <c:pt idx="1">
                  <c:v>4.9875</c:v>
                </c:pt>
              </c:numCache>
            </c:numRef>
          </c:val>
        </c:ser>
        <c:gapWidth val="150"/>
        <c:overlap val="0"/>
        <c:axId val="88335954"/>
        <c:axId val="28827477"/>
      </c:barChart>
      <c:catAx>
        <c:axId val="88335954"/>
        <c:scaling>
          <c:orientation val="minMax"/>
        </c:scaling>
        <c:delete val="0"/>
        <c:axPos val="b"/>
        <c:numFmt formatCode="[$-409]MM/DD/YYYY" sourceLinked="1"/>
        <c:majorTickMark val="out"/>
        <c:minorTickMark val="none"/>
        <c:tickLblPos val="nextTo"/>
        <c:spPr>
          <a:ln w="9360">
            <a:solidFill>
              <a:srgbClr val="878787"/>
            </a:solidFill>
            <a:round/>
          </a:ln>
        </c:spPr>
        <c:txPr>
          <a:bodyPr/>
          <a:lstStyle/>
          <a:p>
            <a:pPr>
              <a:defRPr b="0" sz="1000" spc="-1" strike="noStrike">
                <a:solidFill>
                  <a:srgbClr val="000000"/>
                </a:solidFill>
                <a:latin typeface="Cambria"/>
              </a:defRPr>
            </a:pPr>
          </a:p>
        </c:txPr>
        <c:crossAx val="28827477"/>
        <c:crosses val="autoZero"/>
        <c:auto val="1"/>
        <c:lblAlgn val="ctr"/>
        <c:lblOffset val="100"/>
      </c:catAx>
      <c:valAx>
        <c:axId val="28827477"/>
        <c:scaling>
          <c:orientation val="minMax"/>
        </c:scaling>
        <c:delete val="0"/>
        <c:axPos val="l"/>
        <c:majorGridlines>
          <c:spPr>
            <a:ln w="9360">
              <a:solidFill>
                <a:srgbClr val="878787"/>
              </a:solidFill>
              <a:round/>
            </a:ln>
          </c:spPr>
        </c:majorGridlines>
        <c:numFmt formatCode="General" sourceLinked="0"/>
        <c:majorTickMark val="out"/>
        <c:minorTickMark val="none"/>
        <c:tickLblPos val="nextTo"/>
        <c:spPr>
          <a:ln w="9360">
            <a:solidFill>
              <a:srgbClr val="878787"/>
            </a:solidFill>
            <a:round/>
          </a:ln>
        </c:spPr>
        <c:txPr>
          <a:bodyPr/>
          <a:lstStyle/>
          <a:p>
            <a:pPr>
              <a:defRPr b="0" sz="1000" spc="-1" strike="noStrike">
                <a:solidFill>
                  <a:srgbClr val="000000"/>
                </a:solidFill>
                <a:latin typeface="Cambria"/>
              </a:defRPr>
            </a:pPr>
          </a:p>
        </c:txPr>
        <c:crossAx val="88335954"/>
        <c:crosses val="autoZero"/>
      </c:valAx>
      <c:spPr>
        <a:solidFill>
          <a:srgbClr val="ffffff"/>
        </a:solidFill>
        <a:ln>
          <a:noFill/>
        </a:ln>
      </c:spPr>
    </c:plotArea>
    <c:plotVisOnly val="1"/>
    <c:dispBlanksAs val="gap"/>
  </c:chart>
  <c:spPr>
    <a:solidFill>
      <a:srgbClr val="ffffff"/>
    </a:solid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Replicate</c:v>
                </c:pt>
              </c:strCache>
            </c:strRef>
          </c:tx>
          <c:spPr>
            <a:gradFill>
              <a:gsLst>
                <a:gs pos="0">
                  <a:srgbClr val="3e7fcc"/>
                </a:gs>
                <a:gs pos="100000">
                  <a:srgbClr val="a4c1ff"/>
                </a:gs>
              </a:gsLst>
              <a:lin ang="16200000"/>
            </a:gradFill>
            <a:ln>
              <a:noFill/>
            </a:ln>
          </c:spPr>
          <c:invertIfNegative val="0"/>
          <c:dLbls>
            <c:numFmt formatCode="General" sourceLinked="1"/>
            <c:txPr>
              <a:bodyPr/>
              <a:lstStyle/>
              <a:p>
                <a:pPr>
                  <a:defRPr b="0" sz="1000" spc="-1" strike="noStrike">
                    <a:solidFill>
                      <a:srgbClr val="000000"/>
                    </a:solidFill>
                    <a:latin typeface="Cambria"/>
                  </a:defRPr>
                </a:pPr>
              </a:p>
            </c:txPr>
            <c:dLblPos val="outEnd"/>
            <c:showLegendKey val="0"/>
            <c:showVal val="0"/>
            <c:showCatName val="0"/>
            <c:showSerName val="0"/>
            <c:showPercent val="0"/>
            <c:showLeaderLines val="0"/>
          </c:dLbls>
          <c:cat>
            <c:strRef>
              <c:f>categories</c:f>
              <c:strCache>
                <c:ptCount val="5"/>
                <c:pt idx="0">
                  <c:v>SRO02</c:v>
                </c:pt>
                <c:pt idx="1">
                  <c:v>ROH02</c:v>
                </c:pt>
                <c:pt idx="2">
                  <c:v>PLT04</c:v>
                </c:pt>
                <c:pt idx="3">
                  <c:v>EPA SL</c:v>
                </c:pt>
                <c:pt idx="4">
                  <c:v>OEHHA SL</c:v>
                </c:pt>
              </c:strCache>
            </c:strRef>
          </c:cat>
          <c:val>
            <c:numRef>
              <c:f>0</c:f>
              <c:numCache>
                <c:formatCode>General</c:formatCode>
                <c:ptCount val="5"/>
                <c:pt idx="0">
                  <c:v>0</c:v>
                </c:pt>
                <c:pt idx="1">
                  <c:v>0</c:v>
                </c:pt>
                <c:pt idx="2">
                  <c:v>0</c:v>
                </c:pt>
                <c:pt idx="3">
                  <c:v/>
                </c:pt>
                <c:pt idx="4">
                  <c:v/>
                </c:pt>
              </c:numCache>
            </c:numRef>
          </c:val>
        </c:ser>
        <c:ser>
          <c:idx val="1"/>
          <c:order val="1"/>
          <c:tx>
            <c:strRef>
              <c:f>label 1</c:f>
              <c:strCache>
                <c:ptCount val="1"/>
                <c:pt idx="0">
                  <c:v>Soil Dioxin Concentration</c:v>
                </c:pt>
              </c:strCache>
            </c:strRef>
          </c:tx>
          <c:spPr>
            <a:solidFill>
              <a:srgbClr val="4f81bd"/>
            </a:solidFill>
            <a:ln>
              <a:noFill/>
            </a:ln>
          </c:spPr>
          <c:invertIfNegative val="0"/>
          <c:dPt>
            <c:idx val="3"/>
            <c:invertIfNegative val="0"/>
            <c:spPr>
              <a:solidFill>
                <a:srgbClr val="9bbb59"/>
              </a:solidFill>
              <a:ln>
                <a:noFill/>
              </a:ln>
            </c:spPr>
          </c:dPt>
          <c:dPt>
            <c:idx val="4"/>
            <c:invertIfNegative val="0"/>
            <c:spPr>
              <a:solidFill>
                <a:srgbClr val="9bbb59"/>
              </a:solidFill>
              <a:ln>
                <a:noFill/>
              </a:ln>
            </c:spPr>
          </c:dPt>
          <c:dLbls>
            <c:numFmt formatCode="General" sourceLinked="1"/>
            <c:dLbl>
              <c:idx val="3"/>
              <c:txPr>
                <a:bodyPr/>
                <a:lstStyle/>
                <a:p>
                  <a:pPr>
                    <a:defRPr b="0" sz="1000" spc="-1" strike="noStrike">
                      <a:solidFill>
                        <a:srgbClr val="000000"/>
                      </a:solidFill>
                      <a:latin typeface="Cambria"/>
                    </a:defRPr>
                  </a:pPr>
                </a:p>
              </c:txPr>
              <c:dLblPos val="outEnd"/>
              <c:showLegendKey val="0"/>
              <c:showVal val="0"/>
              <c:showCatName val="0"/>
              <c:showSerName val="0"/>
              <c:showPercent val="0"/>
            </c:dLbl>
            <c:dLbl>
              <c:idx val="4"/>
              <c:txPr>
                <a:bodyPr/>
                <a:lstStyle/>
                <a:p>
                  <a:pPr>
                    <a:defRPr b="0" sz="1000" spc="-1" strike="noStrike">
                      <a:solidFill>
                        <a:srgbClr val="000000"/>
                      </a:solidFill>
                      <a:latin typeface="Cambria"/>
                    </a:defRPr>
                  </a:pPr>
                </a:p>
              </c:txPr>
              <c:dLblPos val="outEnd"/>
              <c:showLegendKey val="0"/>
              <c:showVal val="0"/>
              <c:showCatName val="0"/>
              <c:showSerName val="0"/>
              <c:showPercent val="0"/>
            </c:dLbl>
            <c:txPr>
              <a:bodyPr/>
              <a:lstStyle/>
              <a:p>
                <a:pPr>
                  <a:defRPr b="0" sz="1000" spc="-1" strike="noStrike">
                    <a:solidFill>
                      <a:srgbClr val="000000"/>
                    </a:solidFill>
                    <a:latin typeface="Cambria"/>
                  </a:defRPr>
                </a:pPr>
              </a:p>
            </c:txPr>
            <c:dLblPos val="outEnd"/>
            <c:showLegendKey val="0"/>
            <c:showVal val="0"/>
            <c:showCatName val="0"/>
            <c:showSerName val="0"/>
            <c:showPercent val="0"/>
            <c:showLeaderLines val="0"/>
          </c:dLbls>
          <c:cat>
            <c:strRef>
              <c:f>categories</c:f>
              <c:strCache>
                <c:ptCount val="5"/>
                <c:pt idx="0">
                  <c:v>SRO02</c:v>
                </c:pt>
                <c:pt idx="1">
                  <c:v>ROH02</c:v>
                </c:pt>
                <c:pt idx="2">
                  <c:v>PLT04</c:v>
                </c:pt>
                <c:pt idx="3">
                  <c:v>EPA SL</c:v>
                </c:pt>
                <c:pt idx="4">
                  <c:v>OEHHA SL</c:v>
                </c:pt>
              </c:strCache>
            </c:strRef>
          </c:cat>
          <c:val>
            <c:numRef>
              <c:f>1</c:f>
              <c:numCache>
                <c:formatCode>General</c:formatCode>
                <c:ptCount val="5"/>
                <c:pt idx="0">
                  <c:v>13.2</c:v>
                </c:pt>
                <c:pt idx="1">
                  <c:v>2.21333333333333</c:v>
                </c:pt>
                <c:pt idx="2">
                  <c:v>2.38666666666667</c:v>
                </c:pt>
                <c:pt idx="3">
                  <c:v>4.77</c:v>
                </c:pt>
                <c:pt idx="4">
                  <c:v>4.6</c:v>
                </c:pt>
              </c:numCache>
            </c:numRef>
          </c:val>
        </c:ser>
        <c:gapWidth val="150"/>
        <c:overlap val="0"/>
        <c:axId val="24234660"/>
        <c:axId val="7149372"/>
      </c:barChart>
      <c:catAx>
        <c:axId val="24234660"/>
        <c:scaling>
          <c:orientation val="minMax"/>
        </c:scaling>
        <c:delete val="0"/>
        <c:axPos val="b"/>
        <c:numFmt formatCode="[$-409]MM/DD/YYYY" sourceLinked="1"/>
        <c:majorTickMark val="out"/>
        <c:minorTickMark val="none"/>
        <c:tickLblPos val="nextTo"/>
        <c:spPr>
          <a:ln w="9360">
            <a:solidFill>
              <a:srgbClr val="878787"/>
            </a:solidFill>
            <a:round/>
          </a:ln>
        </c:spPr>
        <c:txPr>
          <a:bodyPr/>
          <a:lstStyle/>
          <a:p>
            <a:pPr>
              <a:defRPr b="0" sz="1000" spc="-1" strike="noStrike">
                <a:solidFill>
                  <a:srgbClr val="000000"/>
                </a:solidFill>
                <a:latin typeface="Cambria"/>
              </a:defRPr>
            </a:pPr>
          </a:p>
        </c:txPr>
        <c:crossAx val="7149372"/>
        <c:crosses val="autoZero"/>
        <c:auto val="1"/>
        <c:lblAlgn val="ctr"/>
        <c:lblOffset val="100"/>
      </c:catAx>
      <c:valAx>
        <c:axId val="7149372"/>
        <c:scaling>
          <c:orientation val="minMax"/>
        </c:scaling>
        <c:delete val="0"/>
        <c:axPos val="l"/>
        <c:majorGridlines>
          <c:spPr>
            <a:ln w="9360">
              <a:solidFill>
                <a:srgbClr val="878787"/>
              </a:solidFill>
              <a:round/>
            </a:ln>
          </c:spPr>
        </c:majorGridlines>
        <c:numFmt formatCode="General" sourceLinked="0"/>
        <c:majorTickMark val="out"/>
        <c:minorTickMark val="none"/>
        <c:tickLblPos val="nextTo"/>
        <c:spPr>
          <a:ln w="9360">
            <a:solidFill>
              <a:srgbClr val="878787"/>
            </a:solidFill>
            <a:round/>
          </a:ln>
        </c:spPr>
        <c:txPr>
          <a:bodyPr/>
          <a:lstStyle/>
          <a:p>
            <a:pPr>
              <a:defRPr b="0" sz="1000" spc="-1" strike="noStrike">
                <a:solidFill>
                  <a:srgbClr val="000000"/>
                </a:solidFill>
                <a:latin typeface="Cambria"/>
              </a:defRPr>
            </a:pPr>
          </a:p>
        </c:txPr>
        <c:crossAx val="24234660"/>
        <c:crosses val="autoZero"/>
      </c:valAx>
      <c:spPr>
        <a:solidFill>
          <a:srgbClr val="ffffff"/>
        </a:solidFill>
        <a:ln>
          <a:noFill/>
        </a:ln>
      </c:spPr>
    </c:plotArea>
    <c:plotVisOnly val="1"/>
    <c:dispBlanksAs val="gap"/>
  </c:chart>
  <c:spPr>
    <a:solidFill>
      <a:srgbClr val="ffffff"/>
    </a:solid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pieChart>
        <c:varyColors val="1"/>
        <c:ser>
          <c:idx val="0"/>
          <c:order val="0"/>
          <c:tx>
            <c:strRef>
              <c:f>label 0</c:f>
              <c:strCache>
                <c:ptCount val="1"/>
                <c:pt idx="0">
                  <c:v>Cancer Cases per year attributable to local food contamination</c:v>
                </c:pt>
              </c:strCache>
            </c:strRef>
          </c:tx>
          <c:spPr>
            <a:gradFill>
              <a:gsLst>
                <a:gs pos="0">
                  <a:srgbClr val="3e7fcc"/>
                </a:gs>
                <a:gs pos="100000">
                  <a:srgbClr val="a4c1ff"/>
                </a:gs>
              </a:gsLst>
              <a:lin ang="16200000"/>
            </a:gradFill>
            <a:ln>
              <a:noFill/>
            </a:ln>
          </c:spPr>
          <c:explosion val="0"/>
          <c:dPt>
            <c:idx val="0"/>
            <c:spPr>
              <a:gradFill>
                <a:gsLst>
                  <a:gs pos="0">
                    <a:srgbClr val="3e7fcc"/>
                  </a:gs>
                  <a:gs pos="100000">
                    <a:srgbClr val="a4c1ff"/>
                  </a:gs>
                </a:gsLst>
                <a:lin ang="16200000"/>
              </a:gradFill>
              <a:ln>
                <a:noFill/>
              </a:ln>
            </c:spPr>
          </c:dPt>
          <c:dPt>
            <c:idx val="1"/>
            <c:explosion val="10"/>
            <c:spPr>
              <a:gradFill>
                <a:gsLst>
                  <a:gs pos="0">
                    <a:srgbClr val="d03f3b"/>
                  </a:gs>
                  <a:gs pos="100000">
                    <a:srgbClr val="ffa7a4"/>
                  </a:gs>
                </a:gsLst>
                <a:lin ang="16200000"/>
              </a:gradFill>
              <a:ln>
                <a:noFill/>
              </a:ln>
            </c:spPr>
          </c:dPt>
          <c:dPt>
            <c:idx val="2"/>
            <c:spPr>
              <a:gradFill>
                <a:gsLst>
                  <a:gs pos="0">
                    <a:srgbClr val="9fc949"/>
                  </a:gs>
                  <a:gs pos="100000">
                    <a:srgbClr val="d9ffa4"/>
                  </a:gs>
                </a:gsLst>
                <a:lin ang="16200000"/>
              </a:gradFill>
              <a:ln>
                <a:noFill/>
              </a:ln>
            </c:spPr>
          </c:dPt>
          <c:dPt>
            <c:idx val="3"/>
            <c:spPr>
              <a:gradFill>
                <a:gsLst>
                  <a:gs pos="0">
                    <a:srgbClr val="7e5aaa"/>
                  </a:gs>
                  <a:gs pos="100000">
                    <a:srgbClr val="c7aeed"/>
                  </a:gs>
                </a:gsLst>
                <a:lin ang="16200000"/>
              </a:gradFill>
              <a:ln>
                <a:noFill/>
              </a:ln>
            </c:spPr>
          </c:dPt>
          <c:dLbls>
            <c:numFmt formatCode="0.000000" sourceLinked="1"/>
            <c:dLbl>
              <c:idx val="0"/>
              <c:txPr>
                <a:bodyPr/>
                <a:lstStyle/>
                <a:p>
                  <a:pPr>
                    <a:defRPr b="0" sz="1000" spc="-1" strike="noStrike">
                      <a:solidFill>
                        <a:srgbClr val="000000"/>
                      </a:solidFill>
                      <a:latin typeface="Cambria"/>
                    </a:defRPr>
                  </a:pPr>
                </a:p>
              </c:txPr>
              <c:dLblPos val="bestFit"/>
              <c:showLegendKey val="0"/>
              <c:showVal val="1"/>
              <c:showCatName val="1"/>
              <c:showSerName val="0"/>
              <c:showPercent val="0"/>
            </c:dLbl>
            <c:dLbl>
              <c:idx val="1"/>
              <c:txPr>
                <a:bodyPr/>
                <a:lstStyle/>
                <a:p>
                  <a:pPr>
                    <a:defRPr b="0" sz="1000" spc="-1" strike="noStrike">
                      <a:solidFill>
                        <a:srgbClr val="000000"/>
                      </a:solidFill>
                      <a:latin typeface="Cambria"/>
                    </a:defRPr>
                  </a:pPr>
                </a:p>
              </c:txPr>
              <c:dLblPos val="bestFit"/>
              <c:showLegendKey val="0"/>
              <c:showVal val="1"/>
              <c:showCatName val="1"/>
              <c:showSerName val="0"/>
              <c:showPercent val="0"/>
            </c:dLbl>
            <c:dLbl>
              <c:idx val="2"/>
              <c:txPr>
                <a:bodyPr/>
                <a:lstStyle/>
                <a:p>
                  <a:pPr>
                    <a:defRPr b="0" sz="1000" spc="-1" strike="noStrike">
                      <a:solidFill>
                        <a:srgbClr val="000000"/>
                      </a:solidFill>
                      <a:latin typeface="Cambria"/>
                    </a:defRPr>
                  </a:pPr>
                </a:p>
              </c:txPr>
              <c:dLblPos val="bestFit"/>
              <c:showLegendKey val="0"/>
              <c:showVal val="1"/>
              <c:showCatName val="1"/>
              <c:showSerName val="0"/>
              <c:showPercent val="0"/>
            </c:dLbl>
            <c:dLbl>
              <c:idx val="3"/>
              <c:txPr>
                <a:bodyPr/>
                <a:lstStyle/>
                <a:p>
                  <a:pPr>
                    <a:defRPr b="0" sz="1000" spc="-1" strike="noStrike">
                      <a:solidFill>
                        <a:srgbClr val="000000"/>
                      </a:solidFill>
                      <a:latin typeface="Cambria"/>
                    </a:defRPr>
                  </a:pPr>
                </a:p>
              </c:txPr>
              <c:dLblPos val="bestFit"/>
              <c:showLegendKey val="0"/>
              <c:showVal val="1"/>
              <c:showCatName val="1"/>
              <c:showSerName val="0"/>
              <c:showPercent val="0"/>
            </c:dLbl>
            <c:txPr>
              <a:bodyPr/>
              <a:lstStyle/>
              <a:p>
                <a:pPr>
                  <a:defRPr b="0" sz="1000" spc="-1" strike="noStrike">
                    <a:solidFill>
                      <a:srgbClr val="000000"/>
                    </a:solidFill>
                    <a:latin typeface="Cambria"/>
                  </a:defRPr>
                </a:pPr>
              </a:p>
            </c:txPr>
            <c:dLblPos val="bestFit"/>
            <c:showLegendKey val="0"/>
            <c:showVal val="1"/>
            <c:showCatName val="1"/>
            <c:showSerName val="0"/>
            <c:showPercent val="0"/>
            <c:showLeaderLines val="0"/>
          </c:dLbls>
          <c:cat>
            <c:strRef>
              <c:f>categories</c:f>
              <c:strCache>
                <c:ptCount val="4"/>
                <c:pt idx="0">
                  <c:v>Third Trimester</c:v>
                </c:pt>
                <c:pt idx="1">
                  <c:v>Age 0&lt;2</c:v>
                </c:pt>
                <c:pt idx="2">
                  <c:v>Age 2&lt;16</c:v>
                </c:pt>
                <c:pt idx="3">
                  <c:v>Age 16-70</c:v>
                </c:pt>
              </c:strCache>
            </c:strRef>
          </c:cat>
          <c:val>
            <c:numRef>
              <c:f>0</c:f>
              <c:numCache>
                <c:formatCode>General</c:formatCode>
                <c:ptCount val="4"/>
                <c:pt idx="0">
                  <c:v>1.7491548295895E-006</c:v>
                </c:pt>
                <c:pt idx="1">
                  <c:v>0.000333172348493237</c:v>
                </c:pt>
                <c:pt idx="2">
                  <c:v>0.00010494928977537</c:v>
                </c:pt>
                <c:pt idx="3">
                  <c:v>2.69869602279522E-005</c:v>
                </c:pt>
              </c:numCache>
            </c:numRef>
          </c:val>
        </c:ser>
        <c:firstSliceAng val="90"/>
      </c:pieChart>
      <c:spPr>
        <a:solidFill>
          <a:srgbClr val="ffffff"/>
        </a:solidFill>
        <a:ln>
          <a:noFill/>
        </a:ln>
      </c:spPr>
    </c:plotArea>
    <c:plotVisOnly val="1"/>
    <c:dispBlanksAs val="gap"/>
  </c:chart>
  <c:spPr>
    <a:solidFill>
      <a:srgbClr val="ffffff"/>
    </a:solidFill>
    <a:ln>
      <a:noFill/>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800" spc="-1" strike="noStrike">
                <a:solidFill>
                  <a:srgbClr val="000000"/>
                </a:solidFill>
                <a:latin typeface="Cambria"/>
              </a:defRPr>
            </a:pPr>
            <a:r>
              <a:rPr b="1" sz="1800" spc="-1" strike="noStrike">
                <a:solidFill>
                  <a:srgbClr val="000000"/>
                </a:solidFill>
                <a:latin typeface="Cambria"/>
              </a:rPr>
              <a:t>Net Benefit: Sonoma County Cancer cases avoided due to increased consumption of produce</a:t>
            </a:r>
          </a:p>
        </c:rich>
      </c:tx>
      <c:overlay val="0"/>
      <c:spPr>
        <a:noFill/>
        <a:ln>
          <a:noFill/>
        </a:ln>
      </c:spPr>
    </c:title>
    <c:autoTitleDeleted val="0"/>
    <c:plotArea>
      <c:barChart>
        <c:barDir val="col"/>
        <c:grouping val="clustered"/>
        <c:varyColors val="0"/>
        <c:ser>
          <c:idx val="0"/>
          <c:order val="0"/>
          <c:tx>
            <c:strRef>
              <c:f>label 0</c:f>
              <c:strCache>
                <c:ptCount val="1"/>
                <c:pt idx="0">
                  <c:v/>
                </c:pt>
              </c:strCache>
            </c:strRef>
          </c:tx>
          <c:spPr>
            <a:solidFill>
              <a:srgbClr val="4f81bd"/>
            </a:solidFill>
            <a:ln>
              <a:noFill/>
            </a:ln>
          </c:spPr>
          <c:invertIfNegative val="0"/>
          <c:dLbls>
            <c:numFmt formatCode="General" sourceLinked="1"/>
            <c:txPr>
              <a:bodyPr/>
              <a:lstStyle/>
              <a:p>
                <a:pPr>
                  <a:defRPr b="0" sz="1000" spc="-1" strike="noStrike">
                    <a:solidFill>
                      <a:srgbClr val="000000"/>
                    </a:solidFill>
                    <a:latin typeface="Cambria"/>
                  </a:defRPr>
                </a:pPr>
              </a:p>
            </c:txPr>
            <c:dLblPos val="outEnd"/>
            <c:showLegendKey val="0"/>
            <c:showVal val="0"/>
            <c:showCatName val="0"/>
            <c:showSerName val="0"/>
            <c:showPercent val="0"/>
            <c:showLeaderLines val="0"/>
          </c:dLbls>
          <c:cat>
            <c:strRef>
              <c:f>categories</c:f>
              <c:strCache>
                <c:ptCount val="4"/>
                <c:pt idx="0">
                  <c:v>Risk from Detected Levels of contamination ND=0</c:v>
                </c:pt>
                <c:pt idx="1">
                  <c:v>Maximum Probable Risk from contamination ND=DL/2</c:v>
                </c:pt>
                <c:pt idx="2">
                  <c:v>Maxmum Possible Risk from contamination ND=DL</c:v>
                </c:pt>
                <c:pt idx="3">
                  <c:v>Sonoma County cancer cases avoided per year attibutable to increased nutrition from produce consumption</c:v>
                </c:pt>
              </c:strCache>
            </c:strRef>
          </c:cat>
          <c:val>
            <c:numRef>
              <c:f>0</c:f>
              <c:numCache>
                <c:formatCode>General</c:formatCode>
                <c:ptCount val="4"/>
                <c:pt idx="0">
                  <c:v>-0.103809428349412</c:v>
                </c:pt>
                <c:pt idx="1">
                  <c:v>-5.14231837688579</c:v>
                </c:pt>
                <c:pt idx="2">
                  <c:v>-8.0389</c:v>
                </c:pt>
                <c:pt idx="3">
                  <c:v>34.7</c:v>
                </c:pt>
              </c:numCache>
            </c:numRef>
          </c:val>
        </c:ser>
        <c:gapWidth val="150"/>
        <c:overlap val="0"/>
        <c:axId val="35038097"/>
        <c:axId val="48875308"/>
      </c:barChart>
      <c:catAx>
        <c:axId val="35038097"/>
        <c:scaling>
          <c:orientation val="minMax"/>
        </c:scaling>
        <c:delete val="0"/>
        <c:axPos val="b"/>
        <c:numFmt formatCode="[$-409]MM/DD/YYYY" sourceLinked="1"/>
        <c:majorTickMark val="none"/>
        <c:minorTickMark val="none"/>
        <c:tickLblPos val="nextTo"/>
        <c:spPr>
          <a:ln w="9360">
            <a:solidFill>
              <a:srgbClr val="878787"/>
            </a:solidFill>
            <a:round/>
          </a:ln>
        </c:spPr>
        <c:txPr>
          <a:bodyPr/>
          <a:lstStyle/>
          <a:p>
            <a:pPr>
              <a:defRPr b="0" sz="1000" spc="-1" strike="noStrike">
                <a:solidFill>
                  <a:srgbClr val="000000"/>
                </a:solidFill>
                <a:latin typeface="Cambria"/>
              </a:defRPr>
            </a:pPr>
          </a:p>
        </c:txPr>
        <c:crossAx val="48875308"/>
        <c:crosses val="autoZero"/>
        <c:auto val="1"/>
        <c:lblAlgn val="ctr"/>
        <c:lblOffset val="100"/>
      </c:catAx>
      <c:valAx>
        <c:axId val="48875308"/>
        <c:scaling>
          <c:orientation val="minMax"/>
        </c:scaling>
        <c:delete val="0"/>
        <c:axPos val="l"/>
        <c:majorGridlines>
          <c:spPr>
            <a:ln w="9360">
              <a:solidFill>
                <a:srgbClr val="878787"/>
              </a:solidFill>
              <a:round/>
            </a:ln>
          </c:spPr>
        </c:majorGridlines>
        <c:title>
          <c:tx>
            <c:rich>
              <a:bodyPr rot="0"/>
              <a:lstStyle/>
              <a:p>
                <a:pPr>
                  <a:defRPr b="1" sz="1000" spc="-1" strike="noStrike">
                    <a:solidFill>
                      <a:srgbClr val="000000"/>
                    </a:solidFill>
                    <a:latin typeface="Cambria"/>
                  </a:defRPr>
                </a:pPr>
                <a:r>
                  <a:rPr b="1" sz="1000" spc="-1" strike="noStrike">
                    <a:solidFill>
                      <a:srgbClr val="000000"/>
                    </a:solidFill>
                    <a:latin typeface="Cambria"/>
                  </a:rPr>
                  <a:t>Axis Title</a:t>
                </a:r>
              </a:p>
            </c:rich>
          </c:tx>
          <c:overlay val="0"/>
          <c:spPr>
            <a:noFill/>
            <a:ln>
              <a:noFill/>
            </a:ln>
          </c:spPr>
        </c:title>
        <c:numFmt formatCode="General" sourceLinked="0"/>
        <c:majorTickMark val="none"/>
        <c:minorTickMark val="none"/>
        <c:tickLblPos val="nextTo"/>
        <c:spPr>
          <a:ln w="9360">
            <a:solidFill>
              <a:srgbClr val="878787"/>
            </a:solidFill>
            <a:round/>
          </a:ln>
        </c:spPr>
        <c:txPr>
          <a:bodyPr/>
          <a:lstStyle/>
          <a:p>
            <a:pPr>
              <a:defRPr b="0" sz="1000" spc="-1" strike="noStrike">
                <a:solidFill>
                  <a:srgbClr val="000000"/>
                </a:solidFill>
                <a:latin typeface="Cambria"/>
              </a:defRPr>
            </a:pPr>
          </a:p>
        </c:txPr>
        <c:crossAx val="35038097"/>
        <c:crosses val="autoZero"/>
      </c:valAx>
      <c:dTable>
        <c:showHorzBorder val="1"/>
        <c:showVertBorder val="1"/>
        <c:showOutline val="1"/>
      </c:dTable>
      <c:spPr>
        <a:solidFill>
          <a:srgbClr val="ffffff"/>
        </a:solidFill>
        <a:ln>
          <a:noFill/>
        </a:ln>
      </c:spPr>
    </c:plotArea>
    <c:plotVisOnly val="1"/>
    <c:dispBlanksAs val="gap"/>
  </c:chart>
  <c:spPr>
    <a:solidFill>
      <a:srgbClr val="ffffff"/>
    </a:solidFill>
    <a:ln>
      <a:no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5715-A7D7-6746-AFDF-B1F09DC01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Application>LibreOffice/6.2.0.3$Linux_X86_64 LibreOffice_project/20$Build-3</Application>
  <Pages>31</Pages>
  <Words>5857</Words>
  <Characters>33373</Characters>
  <CharactersWithSpaces>38776</CharactersWithSpaces>
  <Paragraphs>573</Paragraphs>
  <Company>Vassar College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2019-02-02T18:31:00Z</dcterms:created>
  <dc:creator>Vanessa Raditz</dc:creator>
  <dc:description/>
  <dc:language>en-US</dc:language>
  <cp:lastModifiedBy>Jordan Wingenroth</cp:lastModifiedBy>
  <cp:lastPrinted>2018-06-06T19:37:00Z</cp:lastPrinted>
  <dcterms:modified xsi:type="dcterms:W3CDTF">2019-02-23T17:57:43Z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Vassar College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